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71C33F">
      <w:pPr>
        <w:spacing w:line="520" w:lineRule="exact"/>
        <w:jc w:val="left"/>
        <w:rPr>
          <w:rFonts w:hint="eastAsia" w:ascii="方正仿宋_GBK" w:eastAsia="方正仿宋_GBK"/>
          <w:sz w:val="32"/>
        </w:rPr>
      </w:pPr>
      <w:r>
        <w:rPr>
          <w:rFonts w:hint="eastAsia" w:ascii="方正仿宋_GBK" w:eastAsia="方正仿宋_GBK"/>
          <w:sz w:val="32"/>
        </w:rPr>
        <w:t>附件</w:t>
      </w:r>
    </w:p>
    <w:p w14:paraId="5E9A3CEE">
      <w:pPr>
        <w:pStyle w:val="2"/>
        <w:widowControl/>
        <w:spacing w:line="520" w:lineRule="exact"/>
        <w:jc w:val="center"/>
        <w:rPr>
          <w:rFonts w:hint="eastAsia"/>
        </w:rPr>
      </w:pPr>
      <w:r>
        <w:rPr>
          <w:rFonts w:hint="eastAsia" w:ascii="方正小标宋_GBK" w:hAnsi="方正小标宋_GBK" w:eastAsia="方正小标宋_GBK" w:cs="方正小标宋_GBK"/>
          <w:sz w:val="44"/>
          <w:szCs w:val="44"/>
        </w:rPr>
        <w:t>报价函</w:t>
      </w:r>
    </w:p>
    <w:p w14:paraId="72D5D5B2">
      <w:pPr>
        <w:pStyle w:val="2"/>
        <w:widowControl/>
        <w:spacing w:before="0" w:beforeAutospacing="0" w:after="0" w:afterAutospacing="0" w:line="520" w:lineRule="exact"/>
        <w:rPr>
          <w:rFonts w:ascii="方正仿宋_GBK" w:hAnsi="方正仿宋_GBK" w:eastAsia="方正仿宋_GBK" w:cs="方正仿宋_GBK"/>
          <w:spacing w:val="15"/>
          <w:sz w:val="32"/>
          <w:szCs w:val="32"/>
        </w:rPr>
      </w:pPr>
      <w:r>
        <w:rPr>
          <w:rFonts w:hint="eastAsia" w:ascii="方正仿宋_GBK" w:hAnsi="方正仿宋_GBK" w:eastAsia="方正仿宋_GBK" w:cs="方正仿宋_GBK"/>
          <w:spacing w:val="15"/>
          <w:sz w:val="32"/>
          <w:szCs w:val="32"/>
        </w:rPr>
        <w:t>重庆巴洲大健康产业发展集团有限公司：</w:t>
      </w:r>
    </w:p>
    <w:p w14:paraId="01ED47BB">
      <w:pPr>
        <w:pStyle w:val="2"/>
        <w:widowControl/>
        <w:overflowPunct w:val="0"/>
        <w:spacing w:before="0" w:beforeAutospacing="0" w:after="0" w:afterAutospacing="0" w:line="520" w:lineRule="exact"/>
        <w:ind w:firstLine="700" w:firstLineChars="200"/>
        <w:rPr>
          <w:rFonts w:ascii="方正仿宋_GBK" w:hAnsi="方正仿宋_GBK" w:eastAsia="方正仿宋_GBK" w:cs="方正仿宋_GBK"/>
          <w:spacing w:val="15"/>
          <w:sz w:val="32"/>
          <w:szCs w:val="32"/>
        </w:rPr>
      </w:pPr>
      <w:r>
        <w:rPr>
          <w:rFonts w:hint="eastAsia" w:ascii="方正仿宋_GBK" w:hAnsi="方正仿宋_GBK" w:eastAsia="方正仿宋_GBK" w:cs="方正仿宋_GBK"/>
          <w:spacing w:val="15"/>
          <w:sz w:val="32"/>
          <w:szCs w:val="32"/>
        </w:rPr>
        <w:t>我方充分知悉贵方巴南区莲花街道大溪口河道疏浚砂石综合利用监控布设服务的全部服务内容与履约要求。经核算，现就本项目正式报价如下：</w:t>
      </w:r>
    </w:p>
    <w:p w14:paraId="4F1D972D">
      <w:pPr>
        <w:widowControl/>
        <w:spacing w:line="520" w:lineRule="exact"/>
        <w:ind w:firstLine="700" w:firstLineChars="200"/>
        <w:jc w:val="left"/>
        <w:rPr>
          <w:rFonts w:ascii="方正仿宋_GBK" w:hAnsi="方正仿宋_GBK" w:eastAsia="方正仿宋_GBK" w:cs="方正仿宋_GBK"/>
          <w:spacing w:val="15"/>
          <w:kern w:val="0"/>
          <w:sz w:val="32"/>
          <w:szCs w:val="32"/>
        </w:rPr>
      </w:pPr>
      <w:r>
        <w:rPr>
          <w:rFonts w:hint="eastAsia" w:ascii="方正仿宋_GBK" w:hAnsi="方正仿宋_GBK" w:eastAsia="方正仿宋_GBK" w:cs="方正仿宋_GBK"/>
          <w:spacing w:val="15"/>
          <w:kern w:val="0"/>
          <w:sz w:val="32"/>
          <w:szCs w:val="32"/>
        </w:rPr>
        <w:t>一、项目报价</w:t>
      </w:r>
    </w:p>
    <w:p w14:paraId="7B6239A2">
      <w:pPr>
        <w:widowControl/>
        <w:spacing w:line="520" w:lineRule="exact"/>
        <w:ind w:firstLine="700" w:firstLineChars="200"/>
        <w:jc w:val="left"/>
        <w:rPr>
          <w:rFonts w:ascii="方正仿宋_GBK" w:hAnsi="方正仿宋_GBK" w:eastAsia="方正仿宋_GBK" w:cs="方正仿宋_GBK"/>
          <w:spacing w:val="15"/>
          <w:kern w:val="0"/>
          <w:sz w:val="32"/>
          <w:szCs w:val="32"/>
        </w:rPr>
      </w:pPr>
      <w:r>
        <w:rPr>
          <w:rFonts w:hint="eastAsia" w:ascii="方正仿宋_GBK" w:hAnsi="方正仿宋_GBK" w:eastAsia="方正仿宋_GBK" w:cs="方正仿宋_GBK"/>
          <w:spacing w:val="15"/>
          <w:kern w:val="0"/>
          <w:sz w:val="32"/>
          <w:szCs w:val="32"/>
        </w:rPr>
        <w:t>我方自愿承接本项目全部监控服务工作，愿以固定包干价人民币￥</w:t>
      </w:r>
      <w:r>
        <w:rPr>
          <w:rFonts w:ascii="方正仿宋_GBK" w:hAnsi="方正仿宋_GBK" w:eastAsia="方正仿宋_GBK" w:cs="方正仿宋_GBK"/>
          <w:spacing w:val="15"/>
          <w:kern w:val="0"/>
          <w:sz w:val="32"/>
          <w:szCs w:val="32"/>
        </w:rPr>
        <w:t>______元（大写：______整）完成本项目全部工作。</w:t>
      </w:r>
    </w:p>
    <w:p w14:paraId="169CB788">
      <w:pPr>
        <w:widowControl/>
        <w:spacing w:line="520" w:lineRule="exact"/>
        <w:ind w:firstLine="700" w:firstLineChars="200"/>
        <w:jc w:val="left"/>
        <w:rPr>
          <w:rFonts w:ascii="方正仿宋_GBK" w:hAnsi="方正仿宋_GBK" w:eastAsia="方正仿宋_GBK" w:cs="方正仿宋_GBK"/>
          <w:spacing w:val="15"/>
          <w:kern w:val="0"/>
          <w:sz w:val="32"/>
          <w:szCs w:val="32"/>
        </w:rPr>
      </w:pPr>
      <w:r>
        <w:rPr>
          <w:rFonts w:hint="eastAsia" w:ascii="方正仿宋_GBK" w:hAnsi="方正仿宋_GBK" w:eastAsia="方正仿宋_GBK" w:cs="方正仿宋_GBK"/>
          <w:spacing w:val="15"/>
          <w:kern w:val="0"/>
          <w:sz w:val="32"/>
          <w:szCs w:val="32"/>
        </w:rPr>
        <w:t>二、</w:t>
      </w:r>
      <w:r>
        <w:rPr>
          <w:rFonts w:ascii="方正仿宋_GBK" w:hAnsi="方正仿宋_GBK" w:eastAsia="方正仿宋_GBK" w:cs="方正仿宋_GBK"/>
          <w:spacing w:val="15"/>
          <w:kern w:val="0"/>
          <w:sz w:val="32"/>
          <w:szCs w:val="32"/>
        </w:rPr>
        <w:t>服务设备及施工明细</w:t>
      </w:r>
    </w:p>
    <w:p w14:paraId="75C0EE71">
      <w:pPr>
        <w:widowControl/>
        <w:spacing w:line="520" w:lineRule="exact"/>
        <w:ind w:firstLine="700" w:firstLineChars="200"/>
        <w:jc w:val="left"/>
        <w:rPr>
          <w:rFonts w:ascii="方正仿宋_GBK" w:hAnsi="方正仿宋_GBK" w:eastAsia="方正仿宋_GBK" w:cs="方正仿宋_GBK"/>
          <w:spacing w:val="15"/>
          <w:kern w:val="0"/>
          <w:sz w:val="32"/>
          <w:szCs w:val="32"/>
        </w:rPr>
      </w:pPr>
      <w:r>
        <w:rPr>
          <w:rFonts w:ascii="方正仿宋_GBK" w:hAnsi="方正仿宋_GBK" w:eastAsia="方正仿宋_GBK" w:cs="方正仿宋_GBK"/>
          <w:spacing w:val="15"/>
          <w:kern w:val="0"/>
          <w:sz w:val="32"/>
          <w:szCs w:val="32"/>
        </w:rPr>
        <w:t>本项目配套设备采购、安装及耗材服务明细如下，所有设备均为全新正品、符合行业标准，施工工艺规范，保障项目质检配套系统稳定运行：</w:t>
      </w:r>
    </w:p>
    <w:tbl>
      <w:tblPr>
        <w:tblStyle w:val="3"/>
        <w:tblW w:w="90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653"/>
        <w:gridCol w:w="1494"/>
        <w:gridCol w:w="1158"/>
        <w:gridCol w:w="3140"/>
        <w:gridCol w:w="742"/>
        <w:gridCol w:w="1910"/>
      </w:tblGrid>
      <w:tr w14:paraId="3EC4FC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84" w:hRule="atLeast"/>
          <w:tblHeader/>
          <w:jc w:val="center"/>
        </w:trPr>
        <w:tc>
          <w:tcPr>
            <w:tcW w:w="662" w:type="dxa"/>
            <w:shd w:val="clear" w:color="auto" w:fill="F2F3F5"/>
            <w:noWrap w:val="0"/>
            <w:tcMar>
              <w:top w:w="120" w:type="dxa"/>
              <w:left w:w="120" w:type="dxa"/>
              <w:bottom w:w="120" w:type="dxa"/>
              <w:right w:w="120" w:type="dxa"/>
            </w:tcMar>
            <w:vAlign w:val="center"/>
          </w:tcPr>
          <w:p w14:paraId="1D888C0F">
            <w:pPr>
              <w:widowControl/>
              <w:spacing w:line="260" w:lineRule="exact"/>
              <w:jc w:val="center"/>
              <w:rPr>
                <w:rFonts w:hint="eastAsia" w:ascii="方正黑体_GBK" w:hAnsi="宋体" w:eastAsia="方正黑体_GBK" w:cs="宋体"/>
                <w:kern w:val="0"/>
                <w:sz w:val="20"/>
                <w:szCs w:val="20"/>
              </w:rPr>
            </w:pPr>
            <w:r>
              <w:rPr>
                <w:rFonts w:hint="eastAsia" w:ascii="方正黑体_GBK" w:hAnsi="宋体" w:eastAsia="方正黑体_GBK" w:cs="宋体"/>
                <w:kern w:val="0"/>
                <w:sz w:val="20"/>
                <w:szCs w:val="20"/>
              </w:rPr>
              <w:t>序号</w:t>
            </w:r>
          </w:p>
        </w:tc>
        <w:tc>
          <w:tcPr>
            <w:tcW w:w="1538" w:type="dxa"/>
            <w:shd w:val="clear" w:color="auto" w:fill="F2F3F5"/>
            <w:noWrap w:val="0"/>
            <w:tcMar>
              <w:top w:w="120" w:type="dxa"/>
              <w:left w:w="120" w:type="dxa"/>
              <w:bottom w:w="120" w:type="dxa"/>
              <w:right w:w="120" w:type="dxa"/>
            </w:tcMar>
            <w:vAlign w:val="center"/>
          </w:tcPr>
          <w:p w14:paraId="68BDDC7A">
            <w:pPr>
              <w:widowControl/>
              <w:spacing w:line="260" w:lineRule="exact"/>
              <w:jc w:val="center"/>
              <w:rPr>
                <w:rFonts w:hint="eastAsia" w:ascii="方正黑体_GBK" w:hAnsi="宋体" w:eastAsia="方正黑体_GBK" w:cs="宋体"/>
                <w:kern w:val="0"/>
                <w:sz w:val="20"/>
                <w:szCs w:val="20"/>
              </w:rPr>
            </w:pPr>
            <w:r>
              <w:rPr>
                <w:rFonts w:hint="eastAsia" w:ascii="方正黑体_GBK" w:hAnsi="宋体" w:eastAsia="方正黑体_GBK" w:cs="宋体"/>
                <w:kern w:val="0"/>
                <w:sz w:val="20"/>
                <w:szCs w:val="20"/>
              </w:rPr>
              <w:t>设备/服务名称</w:t>
            </w:r>
          </w:p>
        </w:tc>
        <w:tc>
          <w:tcPr>
            <w:tcW w:w="1188" w:type="dxa"/>
            <w:shd w:val="clear" w:color="auto" w:fill="F2F3F5"/>
            <w:noWrap w:val="0"/>
            <w:tcMar>
              <w:top w:w="120" w:type="dxa"/>
              <w:left w:w="120" w:type="dxa"/>
              <w:bottom w:w="120" w:type="dxa"/>
              <w:right w:w="120" w:type="dxa"/>
            </w:tcMar>
            <w:vAlign w:val="center"/>
          </w:tcPr>
          <w:p w14:paraId="3367C0EE">
            <w:pPr>
              <w:widowControl/>
              <w:spacing w:line="260" w:lineRule="exact"/>
              <w:jc w:val="center"/>
              <w:rPr>
                <w:rFonts w:hint="eastAsia" w:ascii="方正黑体_GBK" w:hAnsi="宋体" w:eastAsia="方正黑体_GBK" w:cs="宋体"/>
                <w:kern w:val="0"/>
                <w:sz w:val="20"/>
                <w:szCs w:val="20"/>
              </w:rPr>
            </w:pPr>
            <w:r>
              <w:rPr>
                <w:rFonts w:hint="eastAsia" w:ascii="方正黑体_GBK" w:hAnsi="宋体" w:eastAsia="方正黑体_GBK" w:cs="宋体"/>
                <w:kern w:val="0"/>
                <w:sz w:val="20"/>
                <w:szCs w:val="20"/>
              </w:rPr>
              <w:t>品牌</w:t>
            </w:r>
          </w:p>
        </w:tc>
        <w:tc>
          <w:tcPr>
            <w:tcW w:w="2981" w:type="dxa"/>
            <w:shd w:val="clear" w:color="auto" w:fill="F2F3F5"/>
            <w:noWrap w:val="0"/>
            <w:tcMar>
              <w:top w:w="120" w:type="dxa"/>
              <w:left w:w="120" w:type="dxa"/>
              <w:bottom w:w="120" w:type="dxa"/>
              <w:right w:w="120" w:type="dxa"/>
            </w:tcMar>
            <w:vAlign w:val="center"/>
          </w:tcPr>
          <w:p w14:paraId="5B6513D5">
            <w:pPr>
              <w:widowControl/>
              <w:spacing w:line="260" w:lineRule="exact"/>
              <w:jc w:val="center"/>
              <w:rPr>
                <w:rFonts w:hint="eastAsia" w:ascii="方正黑体_GBK" w:hAnsi="宋体" w:eastAsia="方正黑体_GBK" w:cs="宋体"/>
                <w:kern w:val="0"/>
                <w:sz w:val="20"/>
                <w:szCs w:val="20"/>
              </w:rPr>
            </w:pPr>
            <w:r>
              <w:rPr>
                <w:rFonts w:hint="eastAsia" w:ascii="方正黑体_GBK" w:hAnsi="宋体" w:eastAsia="方正黑体_GBK" w:cs="宋体"/>
                <w:kern w:val="0"/>
                <w:sz w:val="20"/>
                <w:szCs w:val="20"/>
              </w:rPr>
              <w:t>型号规格</w:t>
            </w:r>
          </w:p>
        </w:tc>
        <w:tc>
          <w:tcPr>
            <w:tcW w:w="764" w:type="dxa"/>
            <w:shd w:val="clear" w:color="auto" w:fill="F2F3F5"/>
            <w:noWrap w:val="0"/>
            <w:vAlign w:val="center"/>
          </w:tcPr>
          <w:p w14:paraId="6EA2027F">
            <w:pPr>
              <w:widowControl/>
              <w:spacing w:line="260" w:lineRule="exact"/>
              <w:jc w:val="center"/>
              <w:rPr>
                <w:rFonts w:hint="eastAsia" w:ascii="方正黑体_GBK" w:hAnsi="宋体" w:eastAsia="方正黑体_GBK" w:cs="宋体"/>
                <w:kern w:val="0"/>
                <w:sz w:val="20"/>
                <w:szCs w:val="20"/>
              </w:rPr>
            </w:pPr>
            <w:r>
              <w:rPr>
                <w:rFonts w:hint="eastAsia" w:ascii="方正黑体_GBK" w:hAnsi="宋体" w:eastAsia="方正黑体_GBK" w:cs="宋体"/>
                <w:kern w:val="0"/>
                <w:sz w:val="20"/>
                <w:szCs w:val="20"/>
              </w:rPr>
              <w:t>数量</w:t>
            </w:r>
          </w:p>
        </w:tc>
        <w:tc>
          <w:tcPr>
            <w:tcW w:w="1964" w:type="dxa"/>
            <w:shd w:val="clear" w:color="auto" w:fill="F2F3F5"/>
            <w:noWrap w:val="0"/>
            <w:tcMar>
              <w:top w:w="120" w:type="dxa"/>
              <w:left w:w="120" w:type="dxa"/>
              <w:bottom w:w="120" w:type="dxa"/>
              <w:right w:w="120" w:type="dxa"/>
            </w:tcMar>
            <w:vAlign w:val="center"/>
          </w:tcPr>
          <w:p w14:paraId="26199B0F">
            <w:pPr>
              <w:widowControl/>
              <w:spacing w:line="260" w:lineRule="exact"/>
              <w:jc w:val="center"/>
              <w:rPr>
                <w:rFonts w:hint="eastAsia" w:ascii="方正黑体_GBK" w:hAnsi="宋体" w:eastAsia="方正黑体_GBK" w:cs="宋体"/>
                <w:kern w:val="0"/>
                <w:sz w:val="20"/>
                <w:szCs w:val="20"/>
              </w:rPr>
            </w:pPr>
            <w:r>
              <w:rPr>
                <w:rFonts w:hint="eastAsia" w:ascii="方正黑体_GBK" w:hAnsi="宋体" w:eastAsia="方正黑体_GBK" w:cs="宋体"/>
                <w:kern w:val="0"/>
                <w:sz w:val="20"/>
                <w:szCs w:val="20"/>
              </w:rPr>
              <w:t>备注</w:t>
            </w:r>
          </w:p>
        </w:tc>
      </w:tr>
      <w:tr w14:paraId="0E904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89" w:hRule="atLeast"/>
          <w:jc w:val="center"/>
        </w:trPr>
        <w:tc>
          <w:tcPr>
            <w:tcW w:w="662" w:type="dxa"/>
            <w:noWrap w:val="0"/>
            <w:tcMar>
              <w:top w:w="120" w:type="dxa"/>
              <w:left w:w="120" w:type="dxa"/>
              <w:bottom w:w="120" w:type="dxa"/>
              <w:right w:w="120" w:type="dxa"/>
            </w:tcMar>
            <w:vAlign w:val="center"/>
          </w:tcPr>
          <w:p w14:paraId="28CCD00C">
            <w:pPr>
              <w:widowControl/>
              <w:spacing w:line="260" w:lineRule="exact"/>
              <w:jc w:val="center"/>
              <w:rPr>
                <w:rFonts w:ascii="宋体" w:hAnsi="宋体" w:eastAsia="宋体" w:cs="宋体"/>
                <w:kern w:val="0"/>
                <w:sz w:val="20"/>
                <w:szCs w:val="20"/>
              </w:rPr>
            </w:pPr>
            <w:r>
              <w:rPr>
                <w:rFonts w:ascii="宋体" w:hAnsi="宋体" w:eastAsia="宋体" w:cs="宋体"/>
                <w:kern w:val="0"/>
                <w:sz w:val="20"/>
                <w:szCs w:val="20"/>
              </w:rPr>
              <w:t>1</w:t>
            </w:r>
          </w:p>
        </w:tc>
        <w:tc>
          <w:tcPr>
            <w:tcW w:w="1538" w:type="dxa"/>
            <w:noWrap w:val="0"/>
            <w:tcMar>
              <w:top w:w="120" w:type="dxa"/>
              <w:left w:w="120" w:type="dxa"/>
              <w:bottom w:w="120" w:type="dxa"/>
              <w:right w:w="120" w:type="dxa"/>
            </w:tcMar>
            <w:vAlign w:val="center"/>
          </w:tcPr>
          <w:p w14:paraId="6F0F5A96">
            <w:pPr>
              <w:widowControl/>
              <w:spacing w:line="260" w:lineRule="exact"/>
              <w:jc w:val="center"/>
              <w:rPr>
                <w:rFonts w:ascii="宋体" w:hAnsi="宋体" w:eastAsia="宋体" w:cs="宋体"/>
                <w:kern w:val="0"/>
                <w:sz w:val="20"/>
                <w:szCs w:val="20"/>
              </w:rPr>
            </w:pPr>
            <w:r>
              <w:rPr>
                <w:rFonts w:ascii="宋体" w:hAnsi="宋体" w:eastAsia="宋体" w:cs="宋体"/>
                <w:kern w:val="0"/>
                <w:sz w:val="20"/>
                <w:szCs w:val="20"/>
              </w:rPr>
              <w:t>4G球机+太阳能供电系统</w:t>
            </w:r>
          </w:p>
        </w:tc>
        <w:tc>
          <w:tcPr>
            <w:tcW w:w="1188" w:type="dxa"/>
            <w:noWrap w:val="0"/>
            <w:tcMar>
              <w:top w:w="120" w:type="dxa"/>
              <w:left w:w="120" w:type="dxa"/>
              <w:bottom w:w="120" w:type="dxa"/>
              <w:right w:w="120" w:type="dxa"/>
            </w:tcMar>
            <w:vAlign w:val="center"/>
          </w:tcPr>
          <w:p w14:paraId="7AEBBB05">
            <w:pPr>
              <w:widowControl/>
              <w:spacing w:line="260" w:lineRule="exact"/>
              <w:jc w:val="center"/>
              <w:rPr>
                <w:rFonts w:ascii="宋体" w:hAnsi="宋体" w:eastAsia="宋体" w:cs="宋体"/>
                <w:kern w:val="0"/>
                <w:sz w:val="20"/>
                <w:szCs w:val="20"/>
              </w:rPr>
            </w:pPr>
            <w:r>
              <w:rPr>
                <w:rFonts w:ascii="宋体" w:hAnsi="宋体" w:eastAsia="宋体" w:cs="宋体"/>
                <w:kern w:val="0"/>
                <w:sz w:val="20"/>
                <w:szCs w:val="20"/>
              </w:rPr>
              <w:t>海康威视</w:t>
            </w:r>
          </w:p>
        </w:tc>
        <w:tc>
          <w:tcPr>
            <w:tcW w:w="2981" w:type="dxa"/>
            <w:noWrap w:val="0"/>
            <w:tcMar>
              <w:top w:w="120" w:type="dxa"/>
              <w:left w:w="120" w:type="dxa"/>
              <w:bottom w:w="120" w:type="dxa"/>
              <w:right w:w="120" w:type="dxa"/>
            </w:tcMar>
            <w:vAlign w:val="center"/>
          </w:tcPr>
          <w:p w14:paraId="4C18C591">
            <w:pPr>
              <w:widowControl/>
              <w:spacing w:line="260" w:lineRule="exact"/>
              <w:jc w:val="center"/>
              <w:rPr>
                <w:rFonts w:ascii="宋体" w:hAnsi="宋体" w:eastAsia="宋体" w:cs="宋体"/>
                <w:kern w:val="0"/>
                <w:sz w:val="20"/>
                <w:szCs w:val="20"/>
              </w:rPr>
            </w:pPr>
            <w:r>
              <w:rPr>
                <w:rFonts w:ascii="宋体" w:hAnsi="宋体" w:eastAsia="宋体" w:cs="宋体"/>
                <w:kern w:val="0"/>
                <w:sz w:val="20"/>
                <w:szCs w:val="20"/>
              </w:rPr>
              <w:t>iDS-2DE4425MW-D/GLT/XM(XM)(F)</w:t>
            </w:r>
          </w:p>
          <w:p w14:paraId="39D7C0DD">
            <w:pPr>
              <w:widowControl/>
              <w:spacing w:line="260" w:lineRule="exact"/>
              <w:jc w:val="center"/>
              <w:rPr>
                <w:rFonts w:ascii="宋体" w:hAnsi="宋体" w:eastAsia="宋体" w:cs="宋体"/>
                <w:kern w:val="0"/>
                <w:sz w:val="20"/>
                <w:szCs w:val="20"/>
              </w:rPr>
            </w:pPr>
            <w:r>
              <w:rPr>
                <w:rFonts w:ascii="宋体" w:hAnsi="宋体" w:eastAsia="宋体" w:cs="宋体"/>
                <w:kern w:val="0"/>
                <w:sz w:val="20"/>
                <w:szCs w:val="20"/>
              </w:rPr>
              <w:t>太阳能120W/60AH</w:t>
            </w:r>
          </w:p>
        </w:tc>
        <w:tc>
          <w:tcPr>
            <w:tcW w:w="764" w:type="dxa"/>
            <w:noWrap w:val="0"/>
            <w:vAlign w:val="center"/>
          </w:tcPr>
          <w:p w14:paraId="6C178A68">
            <w:pPr>
              <w:widowControl/>
              <w:spacing w:line="260" w:lineRule="exact"/>
              <w:jc w:val="center"/>
              <w:rPr>
                <w:rFonts w:hint="eastAsia" w:ascii="宋体" w:hAnsi="宋体" w:eastAsia="宋体" w:cs="宋体"/>
                <w:kern w:val="0"/>
                <w:sz w:val="20"/>
                <w:szCs w:val="20"/>
              </w:rPr>
            </w:pPr>
            <w:r>
              <w:rPr>
                <w:rFonts w:hint="eastAsia" w:ascii="宋体" w:hAnsi="宋体" w:eastAsia="宋体" w:cs="宋体"/>
                <w:kern w:val="0"/>
                <w:sz w:val="20"/>
                <w:szCs w:val="20"/>
              </w:rPr>
              <w:t>1</w:t>
            </w:r>
          </w:p>
        </w:tc>
        <w:tc>
          <w:tcPr>
            <w:tcW w:w="1964" w:type="dxa"/>
            <w:noWrap w:val="0"/>
            <w:tcMar>
              <w:top w:w="120" w:type="dxa"/>
              <w:left w:w="120" w:type="dxa"/>
              <w:bottom w:w="120" w:type="dxa"/>
              <w:right w:w="120" w:type="dxa"/>
            </w:tcMar>
            <w:vAlign w:val="center"/>
          </w:tcPr>
          <w:p w14:paraId="0FC72A68">
            <w:pPr>
              <w:widowControl/>
              <w:spacing w:line="260" w:lineRule="exact"/>
              <w:jc w:val="center"/>
              <w:rPr>
                <w:rFonts w:ascii="宋体" w:hAnsi="宋体" w:eastAsia="宋体" w:cs="宋体"/>
                <w:kern w:val="0"/>
                <w:sz w:val="20"/>
                <w:szCs w:val="20"/>
              </w:rPr>
            </w:pPr>
            <w:r>
              <w:rPr>
                <w:rFonts w:hint="eastAsia" w:ascii="宋体" w:hAnsi="宋体" w:eastAsia="宋体" w:cs="宋体"/>
                <w:kern w:val="0"/>
                <w:sz w:val="20"/>
                <w:szCs w:val="20"/>
              </w:rPr>
              <w:t>单位：套</w:t>
            </w:r>
          </w:p>
        </w:tc>
      </w:tr>
      <w:tr w14:paraId="7F2BC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25" w:hRule="atLeast"/>
          <w:jc w:val="center"/>
        </w:trPr>
        <w:tc>
          <w:tcPr>
            <w:tcW w:w="662" w:type="dxa"/>
            <w:noWrap w:val="0"/>
            <w:tcMar>
              <w:top w:w="120" w:type="dxa"/>
              <w:left w:w="120" w:type="dxa"/>
              <w:bottom w:w="120" w:type="dxa"/>
              <w:right w:w="120" w:type="dxa"/>
            </w:tcMar>
            <w:vAlign w:val="center"/>
          </w:tcPr>
          <w:p w14:paraId="43346234">
            <w:pPr>
              <w:widowControl/>
              <w:spacing w:line="260" w:lineRule="exact"/>
              <w:jc w:val="center"/>
              <w:rPr>
                <w:rFonts w:ascii="宋体" w:hAnsi="宋体" w:eastAsia="宋体" w:cs="宋体"/>
                <w:kern w:val="0"/>
                <w:sz w:val="20"/>
                <w:szCs w:val="20"/>
              </w:rPr>
            </w:pPr>
            <w:r>
              <w:rPr>
                <w:rFonts w:ascii="宋体" w:hAnsi="宋体" w:eastAsia="宋体" w:cs="宋体"/>
                <w:kern w:val="0"/>
                <w:sz w:val="20"/>
                <w:szCs w:val="20"/>
              </w:rPr>
              <w:t>2</w:t>
            </w:r>
          </w:p>
        </w:tc>
        <w:tc>
          <w:tcPr>
            <w:tcW w:w="1538" w:type="dxa"/>
            <w:noWrap w:val="0"/>
            <w:tcMar>
              <w:top w:w="120" w:type="dxa"/>
              <w:left w:w="120" w:type="dxa"/>
              <w:bottom w:w="120" w:type="dxa"/>
              <w:right w:w="120" w:type="dxa"/>
            </w:tcMar>
            <w:vAlign w:val="center"/>
          </w:tcPr>
          <w:p w14:paraId="0B3A3F6A">
            <w:pPr>
              <w:widowControl/>
              <w:spacing w:line="260" w:lineRule="exact"/>
              <w:jc w:val="center"/>
              <w:rPr>
                <w:rFonts w:ascii="宋体" w:hAnsi="宋体" w:eastAsia="宋体" w:cs="宋体"/>
                <w:kern w:val="0"/>
                <w:sz w:val="20"/>
                <w:szCs w:val="20"/>
              </w:rPr>
            </w:pPr>
            <w:r>
              <w:rPr>
                <w:rFonts w:ascii="宋体" w:hAnsi="宋体" w:eastAsia="宋体" w:cs="宋体"/>
                <w:kern w:val="0"/>
                <w:sz w:val="20"/>
                <w:szCs w:val="20"/>
              </w:rPr>
              <w:t>4G球机+球机电源</w:t>
            </w:r>
          </w:p>
        </w:tc>
        <w:tc>
          <w:tcPr>
            <w:tcW w:w="1188" w:type="dxa"/>
            <w:noWrap w:val="0"/>
            <w:tcMar>
              <w:top w:w="120" w:type="dxa"/>
              <w:left w:w="120" w:type="dxa"/>
              <w:bottom w:w="120" w:type="dxa"/>
              <w:right w:w="120" w:type="dxa"/>
            </w:tcMar>
            <w:vAlign w:val="center"/>
          </w:tcPr>
          <w:p w14:paraId="2286060C">
            <w:pPr>
              <w:widowControl/>
              <w:spacing w:line="260" w:lineRule="exact"/>
              <w:jc w:val="center"/>
              <w:rPr>
                <w:rFonts w:ascii="宋体" w:hAnsi="宋体" w:eastAsia="宋体" w:cs="宋体"/>
                <w:kern w:val="0"/>
                <w:sz w:val="20"/>
                <w:szCs w:val="20"/>
              </w:rPr>
            </w:pPr>
            <w:r>
              <w:rPr>
                <w:rFonts w:ascii="宋体" w:hAnsi="宋体" w:eastAsia="宋体" w:cs="宋体"/>
                <w:kern w:val="0"/>
                <w:sz w:val="20"/>
                <w:szCs w:val="20"/>
              </w:rPr>
              <w:t>海康威视</w:t>
            </w:r>
          </w:p>
          <w:p w14:paraId="16C25B36">
            <w:pPr>
              <w:widowControl/>
              <w:spacing w:line="260" w:lineRule="exact"/>
              <w:jc w:val="center"/>
              <w:rPr>
                <w:rFonts w:ascii="宋体" w:hAnsi="宋体" w:eastAsia="宋体" w:cs="宋体"/>
                <w:kern w:val="0"/>
                <w:sz w:val="20"/>
                <w:szCs w:val="20"/>
              </w:rPr>
            </w:pPr>
            <w:r>
              <w:rPr>
                <w:rFonts w:ascii="宋体" w:hAnsi="宋体" w:eastAsia="宋体" w:cs="宋体"/>
                <w:kern w:val="0"/>
                <w:sz w:val="20"/>
                <w:szCs w:val="20"/>
              </w:rPr>
              <w:t>小耳朵</w:t>
            </w:r>
          </w:p>
        </w:tc>
        <w:tc>
          <w:tcPr>
            <w:tcW w:w="2981" w:type="dxa"/>
            <w:noWrap w:val="0"/>
            <w:tcMar>
              <w:top w:w="120" w:type="dxa"/>
              <w:left w:w="120" w:type="dxa"/>
              <w:bottom w:w="120" w:type="dxa"/>
              <w:right w:w="120" w:type="dxa"/>
            </w:tcMar>
            <w:vAlign w:val="center"/>
          </w:tcPr>
          <w:p w14:paraId="35F6D6D3">
            <w:pPr>
              <w:widowControl/>
              <w:spacing w:line="260" w:lineRule="exact"/>
              <w:jc w:val="center"/>
              <w:rPr>
                <w:rFonts w:ascii="宋体" w:hAnsi="宋体" w:eastAsia="宋体" w:cs="宋体"/>
                <w:kern w:val="0"/>
                <w:sz w:val="20"/>
                <w:szCs w:val="20"/>
              </w:rPr>
            </w:pPr>
            <w:r>
              <w:rPr>
                <w:rFonts w:ascii="宋体" w:hAnsi="宋体" w:eastAsia="宋体" w:cs="宋体"/>
                <w:kern w:val="0"/>
                <w:sz w:val="20"/>
                <w:szCs w:val="20"/>
              </w:rPr>
              <w:t>DS-2DE2Q150MW-T</w:t>
            </w:r>
          </w:p>
          <w:p w14:paraId="74ECDB57">
            <w:pPr>
              <w:widowControl/>
              <w:spacing w:line="260" w:lineRule="exact"/>
              <w:jc w:val="center"/>
              <w:rPr>
                <w:rFonts w:ascii="宋体" w:hAnsi="宋体" w:eastAsia="宋体" w:cs="宋体"/>
                <w:kern w:val="0"/>
                <w:sz w:val="20"/>
                <w:szCs w:val="20"/>
              </w:rPr>
            </w:pPr>
            <w:r>
              <w:rPr>
                <w:rFonts w:ascii="宋体" w:hAnsi="宋体" w:eastAsia="宋体" w:cs="宋体"/>
                <w:kern w:val="0"/>
                <w:sz w:val="20"/>
                <w:szCs w:val="20"/>
              </w:rPr>
              <w:t>12V2A</w:t>
            </w:r>
          </w:p>
        </w:tc>
        <w:tc>
          <w:tcPr>
            <w:tcW w:w="764" w:type="dxa"/>
            <w:noWrap w:val="0"/>
            <w:vAlign w:val="center"/>
          </w:tcPr>
          <w:p w14:paraId="6EFD9F40">
            <w:pPr>
              <w:widowControl/>
              <w:spacing w:line="260" w:lineRule="exact"/>
              <w:jc w:val="center"/>
              <w:rPr>
                <w:rFonts w:ascii="宋体" w:hAnsi="宋体" w:eastAsia="宋体" w:cs="宋体"/>
                <w:kern w:val="0"/>
                <w:sz w:val="20"/>
                <w:szCs w:val="20"/>
              </w:rPr>
            </w:pPr>
            <w:r>
              <w:rPr>
                <w:rFonts w:hint="eastAsia" w:ascii="宋体" w:hAnsi="宋体" w:eastAsia="宋体" w:cs="宋体"/>
                <w:kern w:val="0"/>
                <w:sz w:val="20"/>
                <w:szCs w:val="20"/>
              </w:rPr>
              <w:t>2</w:t>
            </w:r>
          </w:p>
        </w:tc>
        <w:tc>
          <w:tcPr>
            <w:tcW w:w="1964" w:type="dxa"/>
            <w:noWrap w:val="0"/>
            <w:tcMar>
              <w:top w:w="120" w:type="dxa"/>
              <w:left w:w="120" w:type="dxa"/>
              <w:bottom w:w="120" w:type="dxa"/>
              <w:right w:w="120" w:type="dxa"/>
            </w:tcMar>
            <w:vAlign w:val="center"/>
          </w:tcPr>
          <w:p w14:paraId="51B60E69">
            <w:pPr>
              <w:widowControl/>
              <w:spacing w:line="260" w:lineRule="exact"/>
              <w:jc w:val="center"/>
              <w:rPr>
                <w:rFonts w:ascii="宋体" w:hAnsi="宋体" w:eastAsia="宋体" w:cs="宋体"/>
                <w:kern w:val="0"/>
                <w:sz w:val="20"/>
                <w:szCs w:val="20"/>
              </w:rPr>
            </w:pPr>
            <w:r>
              <w:rPr>
                <w:rFonts w:ascii="宋体" w:hAnsi="宋体" w:eastAsia="宋体" w:cs="宋体"/>
                <w:kern w:val="0"/>
                <w:sz w:val="20"/>
                <w:szCs w:val="20"/>
              </w:rPr>
              <w:t>配套</w:t>
            </w:r>
            <w:r>
              <w:rPr>
                <w:rFonts w:hint="eastAsia" w:ascii="宋体" w:hAnsi="宋体" w:eastAsia="宋体" w:cs="宋体"/>
                <w:kern w:val="0"/>
                <w:sz w:val="20"/>
                <w:szCs w:val="20"/>
              </w:rPr>
              <w:t>：</w:t>
            </w:r>
            <w:r>
              <w:rPr>
                <w:rFonts w:ascii="宋体" w:hAnsi="宋体" w:eastAsia="宋体" w:cs="宋体"/>
                <w:kern w:val="0"/>
                <w:sz w:val="20"/>
                <w:szCs w:val="20"/>
              </w:rPr>
              <w:t>专用电源</w:t>
            </w:r>
          </w:p>
        </w:tc>
      </w:tr>
      <w:tr w14:paraId="635F6E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4" w:hRule="atLeast"/>
          <w:jc w:val="center"/>
        </w:trPr>
        <w:tc>
          <w:tcPr>
            <w:tcW w:w="662" w:type="dxa"/>
            <w:noWrap w:val="0"/>
            <w:tcMar>
              <w:top w:w="120" w:type="dxa"/>
              <w:left w:w="120" w:type="dxa"/>
              <w:bottom w:w="120" w:type="dxa"/>
              <w:right w:w="120" w:type="dxa"/>
            </w:tcMar>
            <w:vAlign w:val="center"/>
          </w:tcPr>
          <w:p w14:paraId="5AF27C5A">
            <w:pPr>
              <w:widowControl/>
              <w:spacing w:line="260" w:lineRule="exact"/>
              <w:jc w:val="center"/>
              <w:rPr>
                <w:rFonts w:ascii="宋体" w:hAnsi="宋体" w:eastAsia="宋体" w:cs="宋体"/>
                <w:kern w:val="0"/>
                <w:sz w:val="20"/>
                <w:szCs w:val="20"/>
              </w:rPr>
            </w:pPr>
            <w:r>
              <w:rPr>
                <w:rFonts w:ascii="宋体" w:hAnsi="宋体" w:eastAsia="宋体" w:cs="宋体"/>
                <w:kern w:val="0"/>
                <w:sz w:val="20"/>
                <w:szCs w:val="20"/>
              </w:rPr>
              <w:t>3</w:t>
            </w:r>
          </w:p>
        </w:tc>
        <w:tc>
          <w:tcPr>
            <w:tcW w:w="1538" w:type="dxa"/>
            <w:noWrap w:val="0"/>
            <w:tcMar>
              <w:top w:w="120" w:type="dxa"/>
              <w:left w:w="120" w:type="dxa"/>
              <w:bottom w:w="120" w:type="dxa"/>
              <w:right w:w="120" w:type="dxa"/>
            </w:tcMar>
            <w:vAlign w:val="center"/>
          </w:tcPr>
          <w:p w14:paraId="054C8FD4">
            <w:pPr>
              <w:widowControl/>
              <w:spacing w:line="260" w:lineRule="exact"/>
              <w:jc w:val="center"/>
              <w:rPr>
                <w:rFonts w:ascii="宋体" w:hAnsi="宋体" w:eastAsia="宋体" w:cs="宋体"/>
                <w:kern w:val="0"/>
                <w:sz w:val="20"/>
                <w:szCs w:val="20"/>
              </w:rPr>
            </w:pPr>
            <w:r>
              <w:rPr>
                <w:rFonts w:ascii="宋体" w:hAnsi="宋体" w:eastAsia="宋体" w:cs="宋体"/>
                <w:kern w:val="0"/>
                <w:sz w:val="20"/>
                <w:szCs w:val="20"/>
              </w:rPr>
              <w:t>存储卡</w:t>
            </w:r>
          </w:p>
        </w:tc>
        <w:tc>
          <w:tcPr>
            <w:tcW w:w="1188" w:type="dxa"/>
            <w:noWrap w:val="0"/>
            <w:tcMar>
              <w:top w:w="120" w:type="dxa"/>
              <w:left w:w="120" w:type="dxa"/>
              <w:bottom w:w="120" w:type="dxa"/>
              <w:right w:w="120" w:type="dxa"/>
            </w:tcMar>
            <w:vAlign w:val="center"/>
          </w:tcPr>
          <w:p w14:paraId="3C32BCA4">
            <w:pPr>
              <w:widowControl/>
              <w:spacing w:line="260" w:lineRule="exact"/>
              <w:jc w:val="center"/>
              <w:rPr>
                <w:rFonts w:ascii="宋体" w:hAnsi="宋体" w:eastAsia="宋体" w:cs="宋体"/>
                <w:kern w:val="0"/>
                <w:sz w:val="20"/>
                <w:szCs w:val="20"/>
              </w:rPr>
            </w:pPr>
            <w:r>
              <w:rPr>
                <w:rFonts w:ascii="宋体" w:hAnsi="宋体" w:eastAsia="宋体" w:cs="宋体"/>
                <w:kern w:val="0"/>
                <w:sz w:val="20"/>
                <w:szCs w:val="20"/>
              </w:rPr>
              <w:t>金士顿</w:t>
            </w:r>
          </w:p>
        </w:tc>
        <w:tc>
          <w:tcPr>
            <w:tcW w:w="2981" w:type="dxa"/>
            <w:noWrap w:val="0"/>
            <w:tcMar>
              <w:top w:w="120" w:type="dxa"/>
              <w:left w:w="120" w:type="dxa"/>
              <w:bottom w:w="120" w:type="dxa"/>
              <w:right w:w="120" w:type="dxa"/>
            </w:tcMar>
            <w:vAlign w:val="center"/>
          </w:tcPr>
          <w:p w14:paraId="01E4FEEB">
            <w:pPr>
              <w:widowControl/>
              <w:spacing w:line="260" w:lineRule="exact"/>
              <w:jc w:val="center"/>
              <w:rPr>
                <w:rFonts w:ascii="宋体" w:hAnsi="宋体" w:eastAsia="宋体" w:cs="宋体"/>
                <w:kern w:val="0"/>
                <w:sz w:val="20"/>
                <w:szCs w:val="20"/>
              </w:rPr>
            </w:pPr>
            <w:r>
              <w:rPr>
                <w:rFonts w:ascii="宋体" w:hAnsi="宋体" w:eastAsia="宋体" w:cs="宋体"/>
                <w:kern w:val="0"/>
                <w:sz w:val="20"/>
                <w:szCs w:val="20"/>
              </w:rPr>
              <w:t>128G</w:t>
            </w:r>
          </w:p>
        </w:tc>
        <w:tc>
          <w:tcPr>
            <w:tcW w:w="764" w:type="dxa"/>
            <w:noWrap w:val="0"/>
            <w:vAlign w:val="center"/>
          </w:tcPr>
          <w:p w14:paraId="620704CF">
            <w:pPr>
              <w:widowControl/>
              <w:spacing w:line="260" w:lineRule="exact"/>
              <w:jc w:val="center"/>
              <w:rPr>
                <w:rFonts w:hint="eastAsia" w:ascii="宋体" w:hAnsi="宋体" w:eastAsia="宋体" w:cs="宋体"/>
                <w:kern w:val="0"/>
                <w:sz w:val="20"/>
                <w:szCs w:val="20"/>
              </w:rPr>
            </w:pPr>
            <w:r>
              <w:rPr>
                <w:rFonts w:ascii="宋体" w:hAnsi="宋体" w:eastAsia="宋体" w:cs="宋体"/>
                <w:kern w:val="0"/>
                <w:sz w:val="20"/>
                <w:szCs w:val="20"/>
              </w:rPr>
              <w:t>3</w:t>
            </w:r>
          </w:p>
        </w:tc>
        <w:tc>
          <w:tcPr>
            <w:tcW w:w="1964" w:type="dxa"/>
            <w:noWrap w:val="0"/>
            <w:tcMar>
              <w:top w:w="120" w:type="dxa"/>
              <w:left w:w="120" w:type="dxa"/>
              <w:bottom w:w="120" w:type="dxa"/>
              <w:right w:w="120" w:type="dxa"/>
            </w:tcMar>
            <w:vAlign w:val="center"/>
          </w:tcPr>
          <w:p w14:paraId="7C78F748">
            <w:pPr>
              <w:widowControl/>
              <w:spacing w:line="260" w:lineRule="exact"/>
              <w:jc w:val="center"/>
              <w:rPr>
                <w:rFonts w:ascii="宋体" w:hAnsi="宋体" w:eastAsia="宋体" w:cs="宋体"/>
                <w:kern w:val="0"/>
                <w:sz w:val="20"/>
                <w:szCs w:val="20"/>
              </w:rPr>
            </w:pPr>
            <w:r>
              <w:rPr>
                <w:rFonts w:ascii="宋体" w:hAnsi="宋体" w:eastAsia="宋体" w:cs="宋体"/>
                <w:kern w:val="0"/>
                <w:sz w:val="20"/>
                <w:szCs w:val="20"/>
              </w:rPr>
              <w:t>设备存储专用</w:t>
            </w:r>
          </w:p>
        </w:tc>
      </w:tr>
      <w:tr w14:paraId="1F8EB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4" w:hRule="atLeast"/>
          <w:jc w:val="center"/>
        </w:trPr>
        <w:tc>
          <w:tcPr>
            <w:tcW w:w="662" w:type="dxa"/>
            <w:noWrap w:val="0"/>
            <w:tcMar>
              <w:top w:w="120" w:type="dxa"/>
              <w:left w:w="120" w:type="dxa"/>
              <w:bottom w:w="120" w:type="dxa"/>
              <w:right w:w="120" w:type="dxa"/>
            </w:tcMar>
            <w:vAlign w:val="center"/>
          </w:tcPr>
          <w:p w14:paraId="2E2213D2">
            <w:pPr>
              <w:widowControl/>
              <w:spacing w:line="260" w:lineRule="exact"/>
              <w:jc w:val="center"/>
              <w:rPr>
                <w:rFonts w:ascii="宋体" w:hAnsi="宋体" w:eastAsia="宋体" w:cs="宋体"/>
                <w:kern w:val="0"/>
                <w:sz w:val="20"/>
                <w:szCs w:val="20"/>
              </w:rPr>
            </w:pPr>
            <w:r>
              <w:rPr>
                <w:rFonts w:ascii="宋体" w:hAnsi="宋体" w:eastAsia="宋体" w:cs="宋体"/>
                <w:kern w:val="0"/>
                <w:sz w:val="20"/>
                <w:szCs w:val="20"/>
              </w:rPr>
              <w:t>4</w:t>
            </w:r>
          </w:p>
        </w:tc>
        <w:tc>
          <w:tcPr>
            <w:tcW w:w="1538" w:type="dxa"/>
            <w:noWrap w:val="0"/>
            <w:tcMar>
              <w:top w:w="120" w:type="dxa"/>
              <w:left w:w="120" w:type="dxa"/>
              <w:bottom w:w="120" w:type="dxa"/>
              <w:right w:w="120" w:type="dxa"/>
            </w:tcMar>
            <w:vAlign w:val="center"/>
          </w:tcPr>
          <w:p w14:paraId="7B7C468A">
            <w:pPr>
              <w:widowControl/>
              <w:spacing w:line="260" w:lineRule="exact"/>
              <w:jc w:val="center"/>
              <w:rPr>
                <w:rFonts w:ascii="宋体" w:hAnsi="宋体" w:eastAsia="宋体" w:cs="宋体"/>
                <w:kern w:val="0"/>
                <w:sz w:val="20"/>
                <w:szCs w:val="20"/>
              </w:rPr>
            </w:pPr>
            <w:r>
              <w:rPr>
                <w:rFonts w:ascii="宋体" w:hAnsi="宋体" w:eastAsia="宋体" w:cs="宋体"/>
                <w:kern w:val="0"/>
                <w:sz w:val="20"/>
                <w:szCs w:val="20"/>
              </w:rPr>
              <w:t>电源线材</w:t>
            </w:r>
            <w:r>
              <w:rPr>
                <w:rFonts w:hint="eastAsia" w:ascii="宋体" w:hAnsi="宋体" w:eastAsia="宋体" w:cs="宋体"/>
                <w:kern w:val="0"/>
                <w:sz w:val="20"/>
                <w:szCs w:val="20"/>
              </w:rPr>
              <w:t>等耗材</w:t>
            </w:r>
          </w:p>
        </w:tc>
        <w:tc>
          <w:tcPr>
            <w:tcW w:w="1188" w:type="dxa"/>
            <w:noWrap w:val="0"/>
            <w:tcMar>
              <w:top w:w="120" w:type="dxa"/>
              <w:left w:w="120" w:type="dxa"/>
              <w:bottom w:w="120" w:type="dxa"/>
              <w:right w:w="120" w:type="dxa"/>
            </w:tcMar>
            <w:vAlign w:val="center"/>
          </w:tcPr>
          <w:p w14:paraId="7C9EEE0C">
            <w:pPr>
              <w:widowControl/>
              <w:spacing w:line="260" w:lineRule="exact"/>
              <w:jc w:val="center"/>
              <w:rPr>
                <w:rFonts w:ascii="宋体" w:hAnsi="宋体" w:eastAsia="宋体" w:cs="宋体"/>
                <w:kern w:val="0"/>
                <w:sz w:val="20"/>
                <w:szCs w:val="20"/>
              </w:rPr>
            </w:pPr>
            <w:r>
              <w:rPr>
                <w:rFonts w:ascii="宋体" w:hAnsi="宋体" w:eastAsia="宋体" w:cs="宋体"/>
                <w:kern w:val="0"/>
                <w:sz w:val="20"/>
                <w:szCs w:val="20"/>
              </w:rPr>
              <w:t>国标线材</w:t>
            </w:r>
          </w:p>
        </w:tc>
        <w:tc>
          <w:tcPr>
            <w:tcW w:w="2981" w:type="dxa"/>
            <w:noWrap w:val="0"/>
            <w:tcMar>
              <w:top w:w="120" w:type="dxa"/>
              <w:left w:w="120" w:type="dxa"/>
              <w:bottom w:w="120" w:type="dxa"/>
              <w:right w:w="120" w:type="dxa"/>
            </w:tcMar>
            <w:vAlign w:val="center"/>
          </w:tcPr>
          <w:p w14:paraId="27832F26">
            <w:pPr>
              <w:widowControl/>
              <w:spacing w:line="260" w:lineRule="exact"/>
              <w:jc w:val="center"/>
              <w:rPr>
                <w:rFonts w:ascii="宋体" w:hAnsi="宋体" w:eastAsia="宋体" w:cs="宋体"/>
                <w:kern w:val="0"/>
                <w:sz w:val="20"/>
                <w:szCs w:val="20"/>
              </w:rPr>
            </w:pPr>
            <w:r>
              <w:rPr>
                <w:rFonts w:ascii="宋体" w:hAnsi="宋体" w:eastAsia="宋体" w:cs="宋体"/>
                <w:kern w:val="0"/>
                <w:sz w:val="20"/>
                <w:szCs w:val="20"/>
              </w:rPr>
              <w:t>RVV 2*1.0</w:t>
            </w:r>
          </w:p>
        </w:tc>
        <w:tc>
          <w:tcPr>
            <w:tcW w:w="764" w:type="dxa"/>
            <w:noWrap w:val="0"/>
            <w:vAlign w:val="center"/>
          </w:tcPr>
          <w:p w14:paraId="71B55DDB">
            <w:pPr>
              <w:widowControl/>
              <w:spacing w:line="260" w:lineRule="exact"/>
              <w:jc w:val="center"/>
              <w:rPr>
                <w:rFonts w:ascii="宋体" w:hAnsi="宋体" w:eastAsia="宋体" w:cs="宋体"/>
                <w:kern w:val="0"/>
                <w:sz w:val="20"/>
                <w:szCs w:val="20"/>
              </w:rPr>
            </w:pPr>
          </w:p>
        </w:tc>
        <w:tc>
          <w:tcPr>
            <w:tcW w:w="1964" w:type="dxa"/>
            <w:noWrap w:val="0"/>
            <w:tcMar>
              <w:top w:w="120" w:type="dxa"/>
              <w:left w:w="120" w:type="dxa"/>
              <w:bottom w:w="120" w:type="dxa"/>
              <w:right w:w="120" w:type="dxa"/>
            </w:tcMar>
            <w:vAlign w:val="center"/>
          </w:tcPr>
          <w:p w14:paraId="496C3B29">
            <w:pPr>
              <w:widowControl/>
              <w:spacing w:line="260" w:lineRule="exact"/>
              <w:jc w:val="center"/>
              <w:rPr>
                <w:rFonts w:ascii="宋体" w:hAnsi="宋体" w:eastAsia="宋体" w:cs="宋体"/>
                <w:kern w:val="0"/>
                <w:sz w:val="20"/>
                <w:szCs w:val="20"/>
              </w:rPr>
            </w:pPr>
            <w:r>
              <w:rPr>
                <w:rFonts w:ascii="宋体" w:hAnsi="宋体" w:eastAsia="宋体" w:cs="宋体"/>
                <w:kern w:val="0"/>
                <w:sz w:val="20"/>
                <w:szCs w:val="20"/>
              </w:rPr>
              <w:t>含线路铺设、内容融合调试</w:t>
            </w:r>
          </w:p>
        </w:tc>
      </w:tr>
      <w:tr w14:paraId="6E03D5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70" w:hRule="atLeast"/>
          <w:jc w:val="center"/>
        </w:trPr>
        <w:tc>
          <w:tcPr>
            <w:tcW w:w="662" w:type="dxa"/>
            <w:noWrap w:val="0"/>
            <w:tcMar>
              <w:top w:w="120" w:type="dxa"/>
              <w:left w:w="120" w:type="dxa"/>
              <w:bottom w:w="120" w:type="dxa"/>
              <w:right w:w="120" w:type="dxa"/>
            </w:tcMar>
            <w:vAlign w:val="center"/>
          </w:tcPr>
          <w:p w14:paraId="3AA4B0F7">
            <w:pPr>
              <w:widowControl/>
              <w:spacing w:line="260" w:lineRule="exact"/>
              <w:jc w:val="center"/>
              <w:rPr>
                <w:rFonts w:ascii="宋体" w:hAnsi="宋体" w:eastAsia="宋体" w:cs="宋体"/>
                <w:kern w:val="0"/>
                <w:sz w:val="20"/>
                <w:szCs w:val="20"/>
              </w:rPr>
            </w:pPr>
            <w:r>
              <w:rPr>
                <w:rFonts w:ascii="宋体" w:hAnsi="宋体" w:eastAsia="宋体" w:cs="宋体"/>
                <w:kern w:val="0"/>
                <w:sz w:val="20"/>
                <w:szCs w:val="20"/>
              </w:rPr>
              <w:t>5</w:t>
            </w:r>
          </w:p>
        </w:tc>
        <w:tc>
          <w:tcPr>
            <w:tcW w:w="1538" w:type="dxa"/>
            <w:noWrap w:val="0"/>
            <w:tcMar>
              <w:top w:w="120" w:type="dxa"/>
              <w:left w:w="120" w:type="dxa"/>
              <w:bottom w:w="120" w:type="dxa"/>
              <w:right w:w="120" w:type="dxa"/>
            </w:tcMar>
            <w:vAlign w:val="center"/>
          </w:tcPr>
          <w:p w14:paraId="0F920BB9">
            <w:pPr>
              <w:widowControl/>
              <w:spacing w:line="260" w:lineRule="exact"/>
              <w:jc w:val="center"/>
              <w:rPr>
                <w:rFonts w:ascii="宋体" w:hAnsi="宋体" w:eastAsia="宋体" w:cs="宋体"/>
                <w:kern w:val="0"/>
                <w:sz w:val="20"/>
                <w:szCs w:val="20"/>
              </w:rPr>
            </w:pPr>
            <w:r>
              <w:rPr>
                <w:rFonts w:ascii="宋体" w:hAnsi="宋体" w:eastAsia="宋体" w:cs="宋体"/>
                <w:kern w:val="0"/>
                <w:sz w:val="20"/>
                <w:szCs w:val="20"/>
              </w:rPr>
              <w:t>人工</w:t>
            </w:r>
          </w:p>
        </w:tc>
        <w:tc>
          <w:tcPr>
            <w:tcW w:w="1188" w:type="dxa"/>
            <w:noWrap w:val="0"/>
            <w:tcMar>
              <w:top w:w="120" w:type="dxa"/>
              <w:left w:w="120" w:type="dxa"/>
              <w:bottom w:w="120" w:type="dxa"/>
              <w:right w:w="120" w:type="dxa"/>
            </w:tcMar>
            <w:vAlign w:val="center"/>
          </w:tcPr>
          <w:p w14:paraId="6DEC8AA9">
            <w:pPr>
              <w:widowControl/>
              <w:spacing w:line="260" w:lineRule="exact"/>
              <w:jc w:val="center"/>
              <w:rPr>
                <w:rFonts w:ascii="宋体" w:hAnsi="宋体" w:eastAsia="宋体" w:cs="宋体"/>
                <w:kern w:val="0"/>
                <w:sz w:val="20"/>
                <w:szCs w:val="20"/>
              </w:rPr>
            </w:pPr>
            <w:r>
              <w:rPr>
                <w:rFonts w:hint="eastAsia" w:ascii="宋体" w:hAnsi="宋体" w:eastAsia="宋体" w:cs="宋体"/>
                <w:kern w:val="0"/>
                <w:sz w:val="20"/>
                <w:szCs w:val="20"/>
              </w:rPr>
              <w:t>/</w:t>
            </w:r>
          </w:p>
        </w:tc>
        <w:tc>
          <w:tcPr>
            <w:tcW w:w="2981" w:type="dxa"/>
            <w:noWrap w:val="0"/>
            <w:tcMar>
              <w:top w:w="120" w:type="dxa"/>
              <w:left w:w="120" w:type="dxa"/>
              <w:bottom w:w="120" w:type="dxa"/>
              <w:right w:w="120" w:type="dxa"/>
            </w:tcMar>
            <w:vAlign w:val="center"/>
          </w:tcPr>
          <w:p w14:paraId="5298429F">
            <w:pPr>
              <w:widowControl/>
              <w:spacing w:line="260" w:lineRule="exact"/>
              <w:jc w:val="center"/>
              <w:rPr>
                <w:rFonts w:ascii="宋体" w:hAnsi="宋体" w:eastAsia="宋体" w:cs="宋体"/>
                <w:kern w:val="0"/>
                <w:sz w:val="20"/>
                <w:szCs w:val="20"/>
              </w:rPr>
            </w:pPr>
            <w:r>
              <w:rPr>
                <w:rFonts w:hint="eastAsia" w:ascii="宋体" w:hAnsi="宋体" w:eastAsia="宋体" w:cs="宋体"/>
                <w:kern w:val="0"/>
                <w:sz w:val="20"/>
                <w:szCs w:val="20"/>
              </w:rPr>
              <w:t>/</w:t>
            </w:r>
          </w:p>
        </w:tc>
        <w:tc>
          <w:tcPr>
            <w:tcW w:w="764" w:type="dxa"/>
            <w:noWrap w:val="0"/>
            <w:vAlign w:val="center"/>
          </w:tcPr>
          <w:p w14:paraId="111B7845">
            <w:pPr>
              <w:widowControl/>
              <w:spacing w:line="260" w:lineRule="exact"/>
              <w:jc w:val="center"/>
              <w:rPr>
                <w:rFonts w:ascii="宋体" w:hAnsi="宋体" w:eastAsia="宋体" w:cs="宋体"/>
                <w:kern w:val="0"/>
                <w:sz w:val="20"/>
                <w:szCs w:val="20"/>
              </w:rPr>
            </w:pPr>
          </w:p>
        </w:tc>
        <w:tc>
          <w:tcPr>
            <w:tcW w:w="1964" w:type="dxa"/>
            <w:noWrap w:val="0"/>
            <w:tcMar>
              <w:top w:w="120" w:type="dxa"/>
              <w:left w:w="120" w:type="dxa"/>
              <w:bottom w:w="120" w:type="dxa"/>
              <w:right w:w="120" w:type="dxa"/>
            </w:tcMar>
            <w:vAlign w:val="center"/>
          </w:tcPr>
          <w:p w14:paraId="77BC6CF4">
            <w:pPr>
              <w:widowControl/>
              <w:spacing w:line="260" w:lineRule="exact"/>
              <w:jc w:val="center"/>
              <w:rPr>
                <w:rFonts w:ascii="宋体" w:hAnsi="宋体" w:eastAsia="宋体" w:cs="宋体"/>
                <w:kern w:val="0"/>
                <w:sz w:val="20"/>
                <w:szCs w:val="20"/>
              </w:rPr>
            </w:pPr>
            <w:r>
              <w:rPr>
                <w:rFonts w:ascii="宋体" w:hAnsi="宋体" w:eastAsia="宋体" w:cs="宋体"/>
                <w:kern w:val="0"/>
                <w:sz w:val="20"/>
                <w:szCs w:val="20"/>
              </w:rPr>
              <w:t>含设备固定、调试、对位</w:t>
            </w:r>
          </w:p>
        </w:tc>
      </w:tr>
    </w:tbl>
    <w:p w14:paraId="6022BC46">
      <w:pPr>
        <w:pStyle w:val="2"/>
        <w:widowControl/>
        <w:overflowPunct w:val="0"/>
        <w:spacing w:before="0" w:beforeAutospacing="0" w:after="0" w:afterAutospacing="0" w:line="560" w:lineRule="exact"/>
        <w:ind w:firstLine="700" w:firstLineChars="200"/>
        <w:jc w:val="both"/>
        <w:rPr>
          <w:rFonts w:ascii="方正仿宋_GBK" w:hAnsi="方正仿宋_GBK" w:eastAsia="方正仿宋_GBK" w:cs="方正仿宋_GBK"/>
          <w:spacing w:val="15"/>
          <w:sz w:val="32"/>
          <w:szCs w:val="32"/>
          <w:shd w:val="clear" w:color="auto" w:fill="FFFFFF"/>
        </w:rPr>
      </w:pPr>
      <w:r>
        <w:rPr>
          <w:rFonts w:hint="eastAsia" w:ascii="方正仿宋_GBK" w:hAnsi="方正仿宋_GBK" w:eastAsia="方正仿宋_GBK" w:cs="方正仿宋_GBK"/>
          <w:spacing w:val="15"/>
          <w:sz w:val="32"/>
          <w:szCs w:val="32"/>
          <w:shd w:val="clear" w:color="auto" w:fill="FFFFFF"/>
        </w:rPr>
        <w:t>三、服务承诺</w:t>
      </w:r>
    </w:p>
    <w:p w14:paraId="18EBB559">
      <w:pPr>
        <w:pStyle w:val="2"/>
        <w:widowControl/>
        <w:overflowPunct w:val="0"/>
        <w:spacing w:before="0" w:beforeAutospacing="0" w:after="0" w:afterAutospacing="0" w:line="560" w:lineRule="exact"/>
        <w:ind w:firstLine="700" w:firstLineChars="200"/>
        <w:jc w:val="both"/>
        <w:rPr>
          <w:rFonts w:ascii="方正仿宋_GBK" w:hAnsi="方正仿宋_GBK" w:eastAsia="方正仿宋_GBK" w:cs="方正仿宋_GBK"/>
          <w:spacing w:val="15"/>
          <w:sz w:val="32"/>
          <w:szCs w:val="32"/>
          <w:shd w:val="clear" w:color="auto" w:fill="FFFFFF"/>
        </w:rPr>
      </w:pPr>
      <w:r>
        <w:rPr>
          <w:rFonts w:ascii="方正仿宋_GBK" w:hAnsi="方正仿宋_GBK" w:eastAsia="方正仿宋_GBK" w:cs="方正仿宋_GBK"/>
          <w:spacing w:val="15"/>
          <w:sz w:val="32"/>
          <w:szCs w:val="32"/>
          <w:shd w:val="clear" w:color="auto" w:fill="FFFFFF"/>
        </w:rPr>
        <w:t>1、我方具备专业监控施工及服务能力，严格按照国家及行业规范施工，确保设备安装规范、系统运行稳定、画面及存储正常，满足项目使用及验收要求。</w:t>
      </w:r>
    </w:p>
    <w:p w14:paraId="2C134D61">
      <w:pPr>
        <w:pStyle w:val="2"/>
        <w:widowControl/>
        <w:overflowPunct w:val="0"/>
        <w:spacing w:before="0" w:beforeAutospacing="0" w:after="0" w:afterAutospacing="0" w:line="560" w:lineRule="exact"/>
        <w:ind w:firstLine="700" w:firstLineChars="200"/>
        <w:jc w:val="both"/>
        <w:rPr>
          <w:rFonts w:ascii="方正仿宋_GBK" w:hAnsi="方正仿宋_GBK" w:eastAsia="方正仿宋_GBK" w:cs="方正仿宋_GBK"/>
          <w:spacing w:val="15"/>
          <w:sz w:val="32"/>
          <w:szCs w:val="32"/>
          <w:shd w:val="clear" w:color="auto" w:fill="FFFFFF"/>
        </w:rPr>
      </w:pPr>
      <w:r>
        <w:rPr>
          <w:rFonts w:ascii="方正仿宋_GBK" w:hAnsi="方正仿宋_GBK" w:eastAsia="方正仿宋_GBK" w:cs="方正仿宋_GBK"/>
          <w:spacing w:val="15"/>
          <w:sz w:val="32"/>
          <w:szCs w:val="32"/>
          <w:shd w:val="clear" w:color="auto" w:fill="FFFFFF"/>
        </w:rPr>
        <w:t>2、本报价真实有效、无虚假隐瞒，我方自愿承担本项目报价、施工、安全、质量、售后及履约全过程全部经济与法律责任。</w:t>
      </w:r>
    </w:p>
    <w:p w14:paraId="6E908CED">
      <w:pPr>
        <w:pStyle w:val="2"/>
        <w:widowControl/>
        <w:overflowPunct w:val="0"/>
        <w:spacing w:before="0" w:beforeAutospacing="0" w:after="0" w:afterAutospacing="0" w:line="560" w:lineRule="exact"/>
        <w:ind w:firstLine="700" w:firstLineChars="200"/>
        <w:jc w:val="both"/>
        <w:rPr>
          <w:rFonts w:hint="eastAsia" w:ascii="方正仿宋_GBK" w:hAnsi="方正仿宋_GBK" w:eastAsia="方正仿宋_GBK" w:cs="方正仿宋_GBK"/>
          <w:spacing w:val="15"/>
          <w:sz w:val="32"/>
          <w:szCs w:val="32"/>
          <w:shd w:val="clear" w:color="auto" w:fill="FFFFFF"/>
        </w:rPr>
      </w:pPr>
      <w:r>
        <w:rPr>
          <w:rFonts w:ascii="方正仿宋_GBK" w:hAnsi="方正仿宋_GBK" w:eastAsia="方正仿宋_GBK" w:cs="方正仿宋_GBK"/>
          <w:spacing w:val="15"/>
          <w:sz w:val="32"/>
          <w:szCs w:val="32"/>
          <w:shd w:val="clear" w:color="auto" w:fill="FFFFFF"/>
        </w:rPr>
        <w:t>3、我方承诺按期完工、配合验收，提供全程质保及技术售后保障。</w:t>
      </w:r>
    </w:p>
    <w:p w14:paraId="757E1F78">
      <w:pPr>
        <w:widowControl/>
        <w:overflowPunct w:val="0"/>
        <w:spacing w:line="560" w:lineRule="exact"/>
        <w:rPr>
          <w:rFonts w:hint="eastAsia" w:ascii="方正仿宋_GBK" w:hAnsi="宋体" w:eastAsia="方正仿宋_GBK" w:cs="宋体"/>
          <w:kern w:val="0"/>
          <w:sz w:val="32"/>
          <w:szCs w:val="32"/>
        </w:rPr>
      </w:pPr>
    </w:p>
    <w:p w14:paraId="0C572DE3">
      <w:pPr>
        <w:widowControl/>
        <w:overflowPunct w:val="0"/>
        <w:spacing w:line="560" w:lineRule="exact"/>
        <w:ind w:firstLine="640" w:firstLineChars="200"/>
        <w:rPr>
          <w:rFonts w:hint="eastAsia" w:ascii="方正仿宋_GBK" w:hAnsi="宋体" w:eastAsia="方正仿宋_GBK" w:cs="宋体"/>
          <w:kern w:val="0"/>
          <w:sz w:val="32"/>
          <w:szCs w:val="32"/>
        </w:rPr>
      </w:pPr>
    </w:p>
    <w:p w14:paraId="3487E137">
      <w:pPr>
        <w:pStyle w:val="2"/>
        <w:widowControl/>
        <w:spacing w:before="0" w:beforeAutospacing="0" w:after="0" w:afterAutospacing="0" w:line="520" w:lineRule="exact"/>
        <w:ind w:firstLine="700" w:firstLineChars="200"/>
        <w:jc w:val="center"/>
        <w:rPr>
          <w:rFonts w:ascii="方正仿宋_GBK" w:hAnsi="方正仿宋_GBK" w:eastAsia="方正仿宋_GBK" w:cs="方正仿宋_GBK"/>
          <w:spacing w:val="15"/>
          <w:sz w:val="32"/>
          <w:szCs w:val="32"/>
          <w:shd w:val="clear" w:color="auto" w:fill="FFFFFF"/>
        </w:rPr>
      </w:pPr>
      <w:r>
        <w:rPr>
          <w:rFonts w:hint="eastAsia" w:ascii="方正仿宋_GBK" w:hAnsi="方正仿宋_GBK" w:eastAsia="方正仿宋_GBK" w:cs="方正仿宋_GBK"/>
          <w:spacing w:val="15"/>
          <w:sz w:val="32"/>
          <w:szCs w:val="32"/>
          <w:shd w:val="clear" w:color="auto" w:fill="FFFFFF"/>
        </w:rPr>
        <w:t>单位：</w:t>
      </w:r>
    </w:p>
    <w:p w14:paraId="36F52ACA">
      <w:pPr>
        <w:pStyle w:val="2"/>
        <w:widowControl/>
        <w:spacing w:before="0" w:beforeAutospacing="0" w:after="0" w:afterAutospacing="0" w:line="520" w:lineRule="exact"/>
        <w:ind w:firstLine="700" w:firstLineChars="200"/>
        <w:jc w:val="center"/>
        <w:rPr>
          <w:rFonts w:ascii="方正仿宋_GBK" w:hAnsi="方正仿宋_GBK" w:eastAsia="方正仿宋_GBK" w:cs="方正仿宋_GBK"/>
          <w:spacing w:val="15"/>
          <w:sz w:val="32"/>
          <w:szCs w:val="32"/>
          <w:shd w:val="clear" w:color="auto" w:fill="FFFFFF"/>
        </w:rPr>
      </w:pPr>
      <w:r>
        <w:rPr>
          <w:rFonts w:hint="eastAsia" w:ascii="方正仿宋_GBK" w:hAnsi="方正仿宋_GBK" w:eastAsia="方正仿宋_GBK" w:cs="方正仿宋_GBK"/>
          <w:spacing w:val="15"/>
          <w:sz w:val="32"/>
          <w:szCs w:val="32"/>
          <w:shd w:val="clear" w:color="auto" w:fill="FFFFFF"/>
        </w:rPr>
        <w:t>日期：</w:t>
      </w:r>
    </w:p>
    <w:p w14:paraId="479A95D6">
      <w:pPr>
        <w:pStyle w:val="2"/>
        <w:widowControl/>
        <w:spacing w:before="0" w:beforeAutospacing="0" w:after="0" w:afterAutospacing="0" w:line="520" w:lineRule="exact"/>
        <w:ind w:firstLine="700" w:firstLineChars="200"/>
        <w:jc w:val="center"/>
        <w:rPr>
          <w:rFonts w:ascii="方正仿宋_GBK" w:hAnsi="方正仿宋_GBK" w:eastAsia="方正仿宋_GBK" w:cs="方正仿宋_GBK"/>
          <w:spacing w:val="15"/>
          <w:sz w:val="32"/>
          <w:szCs w:val="32"/>
          <w:shd w:val="clear" w:color="auto" w:fill="FFFFFF"/>
        </w:rPr>
      </w:pPr>
      <w:r>
        <w:rPr>
          <w:rFonts w:hint="eastAsia" w:ascii="方正仿宋_GBK" w:hAnsi="方正仿宋_GBK" w:eastAsia="方正仿宋_GBK" w:cs="方正仿宋_GBK"/>
          <w:spacing w:val="15"/>
          <w:sz w:val="32"/>
          <w:szCs w:val="32"/>
          <w:shd w:val="clear" w:color="auto" w:fill="FFFFFF"/>
        </w:rPr>
        <w:t xml:space="preserve"> </w:t>
      </w:r>
      <w:r>
        <w:rPr>
          <w:rFonts w:ascii="方正仿宋_GBK" w:hAnsi="方正仿宋_GBK" w:eastAsia="方正仿宋_GBK" w:cs="方正仿宋_GBK"/>
          <w:spacing w:val="15"/>
          <w:sz w:val="32"/>
          <w:szCs w:val="32"/>
          <w:shd w:val="clear" w:color="auto" w:fill="FFFFFF"/>
        </w:rPr>
        <w:t xml:space="preserve"> </w:t>
      </w:r>
      <w:r>
        <w:rPr>
          <w:rFonts w:hint="eastAsia" w:ascii="方正仿宋_GBK" w:hAnsi="方正仿宋_GBK" w:eastAsia="方正仿宋_GBK" w:cs="方正仿宋_GBK"/>
          <w:spacing w:val="15"/>
          <w:sz w:val="32"/>
          <w:szCs w:val="32"/>
          <w:shd w:val="clear" w:color="auto" w:fill="FFFFFF"/>
        </w:rPr>
        <w:t>联系人：</w:t>
      </w:r>
    </w:p>
    <w:p w14:paraId="484D5678">
      <w:pPr>
        <w:pStyle w:val="2"/>
        <w:widowControl/>
        <w:spacing w:before="0" w:beforeAutospacing="0" w:after="0" w:afterAutospacing="0" w:line="520" w:lineRule="exact"/>
        <w:ind w:firstLine="700" w:firstLineChars="200"/>
        <w:jc w:val="center"/>
        <w:rPr>
          <w:rFonts w:hint="eastAsia" w:ascii="方正仿宋_GBK" w:hAnsi="方正仿宋_GBK" w:eastAsia="方正仿宋_GBK" w:cs="方正仿宋_GBK"/>
          <w:spacing w:val="15"/>
          <w:sz w:val="32"/>
          <w:szCs w:val="32"/>
          <w:shd w:val="clear" w:color="auto" w:fill="FFFFFF"/>
        </w:rPr>
      </w:pPr>
      <w:r>
        <w:rPr>
          <w:rFonts w:hint="eastAsia" w:ascii="方正仿宋_GBK" w:hAnsi="方正仿宋_GBK" w:eastAsia="方正仿宋_GBK" w:cs="方正仿宋_GBK"/>
          <w:spacing w:val="15"/>
          <w:sz w:val="32"/>
          <w:szCs w:val="32"/>
          <w:shd w:val="clear" w:color="auto" w:fill="FFFFFF"/>
        </w:rPr>
        <w:t xml:space="preserve"> </w:t>
      </w:r>
      <w:r>
        <w:rPr>
          <w:rFonts w:ascii="方正仿宋_GBK" w:hAnsi="方正仿宋_GBK" w:eastAsia="方正仿宋_GBK" w:cs="方正仿宋_GBK"/>
          <w:spacing w:val="15"/>
          <w:sz w:val="32"/>
          <w:szCs w:val="32"/>
          <w:shd w:val="clear" w:color="auto" w:fill="FFFFFF"/>
        </w:rPr>
        <w:t xml:space="preserve">   </w:t>
      </w:r>
      <w:bookmarkStart w:id="0" w:name="_GoBack"/>
      <w:bookmarkEnd w:id="0"/>
      <w:r>
        <w:rPr>
          <w:rFonts w:hint="eastAsia" w:ascii="方正仿宋_GBK" w:hAnsi="方正仿宋_GBK" w:eastAsia="方正仿宋_GBK" w:cs="方正仿宋_GBK"/>
          <w:spacing w:val="15"/>
          <w:sz w:val="32"/>
          <w:szCs w:val="32"/>
          <w:shd w:val="clear" w:color="auto" w:fill="FFFFFF"/>
        </w:rPr>
        <w:t>联系电话：</w:t>
      </w:r>
    </w:p>
    <w:p w14:paraId="787FCC98">
      <w:pPr>
        <w:spacing w:line="560" w:lineRule="exact"/>
        <w:jc w:val="center"/>
        <w:rPr>
          <w:rFonts w:hint="eastAsia"/>
        </w:rPr>
      </w:pPr>
    </w:p>
    <w:p w14:paraId="4521E43A">
      <w:pPr>
        <w:overflowPunct w:val="0"/>
        <w:spacing w:line="560" w:lineRule="exact"/>
        <w:ind w:firstLine="640" w:firstLineChars="200"/>
        <w:rPr>
          <w:rFonts w:hint="eastAsia" w:ascii="方正仿宋_GBK" w:hAnsi="宋体" w:eastAsia="方正仿宋_GBK" w:cs="宋体"/>
          <w:kern w:val="0"/>
          <w:sz w:val="32"/>
          <w:szCs w:val="32"/>
        </w:rPr>
      </w:pPr>
    </w:p>
    <w:p w14:paraId="09B29E9C"/>
    <w:sectPr>
      <w:pgSz w:w="11906" w:h="16838"/>
      <w:pgMar w:top="2098" w:right="1531" w:bottom="1985" w:left="1531"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方正仿宋_GBK">
    <w:panose1 w:val="03000509000000000000"/>
    <w:charset w:val="86"/>
    <w:family w:val="script"/>
    <w:pitch w:val="default"/>
    <w:sig w:usb0="00000001" w:usb1="080E0000" w:usb2="00000000" w:usb3="00000000" w:csb0="00040000" w:csb1="00000000"/>
  </w:font>
  <w:font w:name="方正小标宋_GBK">
    <w:panose1 w:val="03000509000000000000"/>
    <w:charset w:val="86"/>
    <w:family w:val="script"/>
    <w:pitch w:val="default"/>
    <w:sig w:usb0="00000001" w:usb1="080E0000" w:usb2="00000000" w:usb3="00000000" w:csb0="00040000" w:csb1="00000000"/>
  </w:font>
  <w:font w:name="方正黑体_GBK">
    <w:panose1 w:val="03000509000000000000"/>
    <w:charset w:val="86"/>
    <w:family w:val="script"/>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1A909E9"/>
    <w:rsid w:val="71A909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semiHidden/>
    <w:unhideWhenUsed/>
    <w:qFormat/>
    <w:uiPriority w:val="0"/>
    <w:pPr>
      <w:spacing w:before="100" w:beforeAutospacing="1" w:after="100" w:afterAutospacing="1"/>
      <w:jc w:val="left"/>
    </w:pPr>
    <w:rPr>
      <w:rFonts w:ascii="Calibri" w:hAnsi="Calibri" w:eastAsia="宋体" w:cs="Times New Roman"/>
      <w:kern w:val="0"/>
      <w:sz w:val="24"/>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2026-09-09T11:04:00Z</dcterms:created>
  <dc:creator>SweetYi</dc:creator>
  <cp:lastModifiedBy>SweetYi</cp:lastModifiedBy>
  <dcterms:modified xsi:type="dcterms:W3CDTF">2026-09-09T11:05:14Z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7B4FF38AF8E54C7D8CD8D2D4F0012B68_11</vt:lpwstr>
  </property>
  <property fmtid="{D5CDD505-2E9C-101B-9397-08002B2CF9AE}" pid="4" name="KSOTemplateDocerSaveRecord">
    <vt:lpwstr>eyJoZGlkIjoiODc1NjAzMDU1OTczNTQwYmI3OGEyNTA5YjVhMjIyMTEiLCJ1c2VySWQiOiI4ODQyNzUwOTMifQ==</vt:lpwstr>
  </property>
</Properties>
</file>