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8036A">
      <w:pPr>
        <w:spacing w:line="560" w:lineRule="exact"/>
        <w:rPr>
          <w:rFonts w:hint="eastAsia" w:ascii="方正黑体_GBK" w:hAnsi="方正黑体_GBK" w:eastAsia="方正黑体_GBK" w:cs="方正黑体_GBK"/>
          <w:szCs w:val="32"/>
        </w:rPr>
      </w:pPr>
      <w:bookmarkStart w:id="0" w:name="_GoBack"/>
      <w:bookmarkEnd w:id="0"/>
    </w:p>
    <w:p w14:paraId="457A6F10">
      <w:pPr>
        <w:pStyle w:val="16"/>
        <w:rPr>
          <w:rFonts w:hint="eastAsia"/>
          <w:color w:val="000000"/>
          <w:lang w:val="en-US" w:eastAsia="zh-CN"/>
        </w:rPr>
      </w:pPr>
    </w:p>
    <w:p w14:paraId="1512E5C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44"/>
          <w:szCs w:val="44"/>
          <w:lang w:val="en-US"/>
        </w:rPr>
      </w:pPr>
      <w:r>
        <w:rPr>
          <w:rFonts w:hint="eastAsia" w:ascii="方正小标宋_GBK" w:hAnsi="方正小标宋_GBK" w:eastAsia="方正小标宋_GBK" w:cs="方正小标宋_GBK"/>
          <w:color w:val="000000"/>
          <w:kern w:val="2"/>
          <w:sz w:val="44"/>
          <w:szCs w:val="44"/>
          <w:lang w:val="en-US" w:eastAsia="zh-CN" w:bidi="ar"/>
        </w:rPr>
        <w:t>巴南区限额以下工程建设项目比选文件</w:t>
      </w:r>
    </w:p>
    <w:p w14:paraId="631F2D3B">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jc w:val="both"/>
        <w:textAlignment w:val="auto"/>
        <w:outlineLvl w:val="9"/>
        <w:rPr>
          <w:rFonts w:hint="eastAsia" w:ascii="方正仿宋_GBK" w:hAnsi="方正仿宋_GBK" w:eastAsia="方正仿宋_GBK" w:cs="方正仿宋_GBK"/>
          <w:color w:val="000000"/>
          <w:lang w:val="en-US"/>
        </w:rPr>
      </w:pPr>
    </w:p>
    <w:p w14:paraId="390AD32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b/>
          <w:bCs w:val="0"/>
          <w:color w:val="000000"/>
          <w:sz w:val="28"/>
          <w:szCs w:val="28"/>
          <w:lang w:val="en-US"/>
        </w:rPr>
      </w:pPr>
    </w:p>
    <w:p w14:paraId="0095896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513817B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72DDAC8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default" w:ascii="方正仿宋_GBK" w:hAnsi="方正仿宋_GBK" w:eastAsia="方正仿宋_GBK" w:cs="方正仿宋_GBK"/>
          <w:color w:val="000000"/>
          <w:kern w:val="2"/>
          <w:sz w:val="36"/>
          <w:szCs w:val="36"/>
          <w:lang w:val="en-US" w:eastAsia="zh-CN" w:bidi="ar"/>
        </w:rPr>
      </w:pPr>
      <w:r>
        <w:rPr>
          <w:rFonts w:hint="eastAsia" w:ascii="方正仿宋_GBK" w:hAnsi="方正仿宋_GBK" w:eastAsia="方正仿宋_GBK" w:cs="方正仿宋_GBK"/>
          <w:color w:val="000000"/>
          <w:kern w:val="2"/>
          <w:sz w:val="36"/>
          <w:szCs w:val="36"/>
          <w:lang w:val="en-US" w:eastAsia="zh-CN" w:bidi="ar"/>
        </w:rPr>
        <w:t>项 目 名 称： 巴南区龙洲水岸片区城市更新项目-本体修缮改造工程施工阶段工程造价全过程控制</w:t>
      </w:r>
    </w:p>
    <w:p w14:paraId="02D0235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sz w:val="36"/>
          <w:szCs w:val="36"/>
          <w:lang w:val="en-US" w:eastAsia="zh-CN"/>
        </w:rPr>
      </w:pPr>
      <w:r>
        <w:rPr>
          <w:rFonts w:hint="eastAsia" w:ascii="方正仿宋_GBK" w:hAnsi="方正仿宋_GBK" w:eastAsia="方正仿宋_GBK" w:cs="方正仿宋_GBK"/>
          <w:color w:val="000000"/>
          <w:sz w:val="36"/>
          <w:szCs w:val="36"/>
          <w:lang w:eastAsia="zh-CN"/>
        </w:rPr>
        <w:t>采</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购</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人：</w:t>
      </w:r>
      <w:r>
        <w:rPr>
          <w:rFonts w:hint="eastAsia" w:ascii="方正仿宋_GBK" w:hAnsi="方正仿宋_GBK" w:eastAsia="方正仿宋_GBK" w:cs="方正仿宋_GBK"/>
          <w:color w:val="000000"/>
          <w:sz w:val="36"/>
          <w:szCs w:val="36"/>
          <w:lang w:val="en-US" w:eastAsia="zh-CN"/>
        </w:rPr>
        <w:t xml:space="preserve"> 重庆巴洲文化旅游产业集团有限公司</w:t>
      </w:r>
    </w:p>
    <w:p w14:paraId="01C45D23">
      <w:pPr>
        <w:pStyle w:val="6"/>
        <w:rPr>
          <w:rFonts w:hint="default"/>
          <w:spacing w:val="-20"/>
          <w:lang w:val="en-US" w:eastAsia="zh-CN"/>
        </w:rPr>
      </w:pPr>
      <w:r>
        <w:rPr>
          <w:rFonts w:hint="eastAsia" w:ascii="方正仿宋_GBK" w:hAnsi="方正仿宋_GBK" w:eastAsia="方正仿宋_GBK" w:cs="方正仿宋_GBK"/>
          <w:color w:val="000000"/>
          <w:sz w:val="36"/>
          <w:szCs w:val="36"/>
          <w:lang w:val="en-US" w:eastAsia="zh-CN"/>
        </w:rPr>
        <w:t xml:space="preserve">          </w:t>
      </w:r>
    </w:p>
    <w:p w14:paraId="071A743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613CD33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17C9765B">
      <w:pPr>
        <w:pStyle w:val="16"/>
        <w:rPr>
          <w:rFonts w:hint="eastAsia" w:ascii="方正仿宋_GBK" w:hAnsi="方正仿宋_GBK" w:eastAsia="方正仿宋_GBK" w:cs="方正仿宋_GBK"/>
          <w:color w:val="000000"/>
          <w:sz w:val="28"/>
          <w:szCs w:val="28"/>
          <w:lang w:val="en-US"/>
        </w:rPr>
      </w:pPr>
    </w:p>
    <w:p w14:paraId="50C091F6">
      <w:pPr>
        <w:pStyle w:val="16"/>
        <w:rPr>
          <w:rFonts w:hint="eastAsia" w:ascii="方正仿宋_GBK" w:hAnsi="方正仿宋_GBK" w:eastAsia="方正仿宋_GBK" w:cs="方正仿宋_GBK"/>
          <w:color w:val="000000"/>
          <w:sz w:val="28"/>
          <w:szCs w:val="28"/>
          <w:lang w:val="en-US"/>
        </w:rPr>
      </w:pPr>
    </w:p>
    <w:p w14:paraId="6A0EE500">
      <w:pPr>
        <w:pStyle w:val="16"/>
        <w:rPr>
          <w:rFonts w:hint="eastAsia" w:ascii="方正仿宋_GBK" w:hAnsi="方正仿宋_GBK" w:eastAsia="方正仿宋_GBK" w:cs="方正仿宋_GBK"/>
          <w:color w:val="000000"/>
          <w:sz w:val="28"/>
          <w:szCs w:val="28"/>
          <w:lang w:val="en-US"/>
        </w:rPr>
      </w:pPr>
    </w:p>
    <w:p w14:paraId="45A8ADA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5E7AECF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4D2E3D1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36"/>
          <w:szCs w:val="36"/>
          <w:lang w:val="en-US"/>
        </w:rPr>
      </w:pPr>
      <w:r>
        <w:rPr>
          <w:rFonts w:hint="eastAsia" w:ascii="方正仿宋_GBK" w:hAnsi="方正仿宋_GBK" w:eastAsia="方正仿宋_GBK" w:cs="方正仿宋_GBK"/>
          <w:color w:val="000000"/>
          <w:kern w:val="2"/>
          <w:sz w:val="36"/>
          <w:szCs w:val="36"/>
          <w:lang w:val="en-US" w:eastAsia="zh-CN" w:bidi="ar"/>
        </w:rPr>
        <w:t>2026年9月</w:t>
      </w:r>
    </w:p>
    <w:p w14:paraId="2267DDC0">
      <w:pPr>
        <w:keepNext w:val="0"/>
        <w:keepLines w:val="0"/>
        <w:pageBreakBefore w:val="0"/>
        <w:kinsoku/>
        <w:wordWrap/>
        <w:overflowPunct/>
        <w:topLinePunct w:val="0"/>
        <w:autoSpaceDE/>
        <w:autoSpaceDN/>
        <w:bidi w:val="0"/>
        <w:adjustRightInd/>
        <w:snapToGrid/>
        <w:spacing w:line="560" w:lineRule="exact"/>
        <w:ind w:right="0" w:rightChars="0"/>
        <w:textAlignment w:val="auto"/>
        <w:outlineLvl w:val="9"/>
        <w:rPr>
          <w:rFonts w:hint="eastAsia" w:ascii="方正仿宋_GBK" w:hAnsi="方正仿宋_GBK" w:eastAsia="方正仿宋_GBK" w:cs="方正仿宋_GBK"/>
          <w:color w:val="000000"/>
          <w:kern w:val="2"/>
          <w:sz w:val="36"/>
          <w:szCs w:val="36"/>
          <w:lang w:val="en-US" w:eastAsia="zh-CN" w:bidi="ar"/>
        </w:rPr>
        <w:sectPr>
          <w:footerReference r:id="rId3" w:type="default"/>
          <w:footerReference r:id="rId4" w:type="even"/>
          <w:pgSz w:w="11906" w:h="16838"/>
          <w:pgMar w:top="2098" w:right="1531" w:bottom="1984" w:left="1531" w:header="851" w:footer="1361" w:gutter="0"/>
          <w:paperSrc/>
          <w:pgNumType w:fmt="decimal" w:start="1"/>
          <w:cols w:space="720" w:num="1"/>
          <w:rtlGutter w:val="0"/>
          <w:docGrid w:type="lines" w:linePitch="312" w:charSpace="0"/>
        </w:sectPr>
      </w:pPr>
    </w:p>
    <w:p w14:paraId="7E47E5B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现对</w:t>
      </w:r>
      <w:r>
        <w:rPr>
          <w:rFonts w:hint="eastAsia" w:ascii="方正仿宋_GBK" w:hAnsi="方正仿宋_GBK" w:eastAsia="方正仿宋_GBK" w:cs="方正仿宋_GBK"/>
          <w:color w:val="000000"/>
          <w:kern w:val="2"/>
          <w:sz w:val="32"/>
          <w:szCs w:val="32"/>
          <w:u w:val="single"/>
          <w:lang w:val="en-US" w:eastAsia="zh-CN" w:bidi="ar"/>
        </w:rPr>
        <w:t>巴南区龙洲水岸片区城市更新项目-本体修缮改造工程施工阶段工程造价全过程控制单位</w:t>
      </w:r>
      <w:r>
        <w:rPr>
          <w:rFonts w:hint="eastAsia" w:ascii="方正仿宋_GBK" w:hAnsi="方正仿宋_GBK" w:eastAsia="方正仿宋_GBK" w:cs="方正仿宋_GBK"/>
          <w:color w:val="000000"/>
          <w:kern w:val="2"/>
          <w:sz w:val="32"/>
          <w:szCs w:val="32"/>
          <w:lang w:val="en-US" w:eastAsia="zh-CN" w:bidi="ar"/>
        </w:rPr>
        <w:t>进行比选。欢迎符合条件的比选申请人前来参加。</w:t>
      </w:r>
    </w:p>
    <w:p w14:paraId="5AFB89A3">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eastAsia="zh-CN" w:bidi="ar"/>
        </w:rPr>
        <w:t>一、比选内容</w:t>
      </w:r>
    </w:p>
    <w:tbl>
      <w:tblPr>
        <w:tblStyle w:val="13"/>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1685"/>
        <w:gridCol w:w="1600"/>
        <w:gridCol w:w="1380"/>
        <w:gridCol w:w="1868"/>
      </w:tblGrid>
      <w:tr w14:paraId="766B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74333D31">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项目内容</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9CC615E">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最高限价</w:t>
            </w:r>
          </w:p>
          <w:p w14:paraId="347884A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（万元）</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6C209DA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eastAsia="zh-CN" w:bidi="ar"/>
              </w:rPr>
            </w:pPr>
            <w:r>
              <w:rPr>
                <w:rFonts w:hint="eastAsia" w:ascii="仿宋" w:hAnsi="仿宋" w:eastAsia="仿宋" w:cs="仿宋"/>
                <w:b w:val="0"/>
                <w:bCs/>
                <w:color w:val="000000"/>
                <w:kern w:val="0"/>
                <w:sz w:val="32"/>
                <w:szCs w:val="32"/>
                <w:lang w:val="en-US" w:eastAsia="zh-CN" w:bidi="ar"/>
              </w:rPr>
              <w:t>最高限价</w:t>
            </w:r>
          </w:p>
          <w:p w14:paraId="76E93CA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both"/>
              <w:textAlignment w:val="auto"/>
              <w:rPr>
                <w:rFonts w:hint="eastAsia" w:ascii="仿宋" w:hAnsi="仿宋" w:eastAsia="仿宋" w:cs="仿宋"/>
                <w:b w:val="0"/>
                <w:bCs/>
                <w:color w:val="000000"/>
                <w:kern w:val="0"/>
                <w:sz w:val="32"/>
                <w:szCs w:val="32"/>
                <w:lang w:val="en-US" w:eastAsia="zh-CN" w:bidi="ar"/>
              </w:rPr>
            </w:pPr>
            <w:r>
              <w:rPr>
                <w:rFonts w:hint="eastAsia" w:ascii="仿宋" w:hAnsi="仿宋" w:eastAsia="仿宋" w:cs="仿宋"/>
                <w:b w:val="0"/>
                <w:bCs/>
                <w:color w:val="000000"/>
                <w:spacing w:val="-20"/>
                <w:kern w:val="0"/>
                <w:sz w:val="32"/>
                <w:szCs w:val="32"/>
                <w:lang w:val="en-US" w:eastAsia="zh-CN" w:bidi="ar"/>
              </w:rPr>
              <w:t>（下浮率）</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040A7B0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both"/>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spacing w:val="-20"/>
                <w:kern w:val="0"/>
                <w:sz w:val="32"/>
                <w:szCs w:val="32"/>
                <w:lang w:val="en-US" w:eastAsia="zh-CN" w:bidi="ar"/>
              </w:rPr>
              <w:t>资金来源</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11EE0BF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备注</w:t>
            </w:r>
          </w:p>
        </w:tc>
      </w:tr>
      <w:tr w14:paraId="5FB4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500D23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both"/>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rPr>
              <w:t>巴南区龙洲水岸片区城市更新项目-本体修缮改造工程施工阶段工程造价全过程控制</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DE3A92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 xml:space="preserve">25.84 </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10264C0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40%</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4A7D4C9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自筹</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682FFE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sz w:val="32"/>
                <w:szCs w:val="32"/>
                <w:lang w:val="en-US" w:eastAsia="zh-CN"/>
              </w:rPr>
            </w:pPr>
            <w:r>
              <w:rPr>
                <w:rFonts w:hint="eastAsia" w:ascii="仿宋" w:hAnsi="仿宋" w:eastAsia="仿宋" w:cs="仿宋"/>
                <w:b w:val="0"/>
                <w:bCs/>
                <w:color w:val="000000"/>
                <w:sz w:val="32"/>
                <w:szCs w:val="32"/>
                <w:lang w:val="en-US" w:eastAsia="zh-CN"/>
              </w:rPr>
              <w:t>报价时报下浮比例。</w:t>
            </w:r>
          </w:p>
        </w:tc>
      </w:tr>
    </w:tbl>
    <w:p w14:paraId="3FB3D0D3">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二、比选申请人资格要求</w:t>
      </w:r>
    </w:p>
    <w:p w14:paraId="4621CCD7">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（一）基本资格条件</w:t>
      </w:r>
    </w:p>
    <w:p w14:paraId="1C88614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1.具有独立承担民事责任的能力；</w:t>
      </w:r>
    </w:p>
    <w:p w14:paraId="77C1ACCD">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2.具有良好的商业信誉和健全的财务会计制度；</w:t>
      </w:r>
    </w:p>
    <w:p w14:paraId="5D85436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3.具有履行合同所必需的设备和专业技术能力；</w:t>
      </w:r>
    </w:p>
    <w:p w14:paraId="5EE309CC">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4.有依法缴纳税收和社会保障资金的良好记录；</w:t>
      </w:r>
    </w:p>
    <w:p w14:paraId="0082C8DE">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5.成立三年以上的，在经营活动中没有重大违法记录；</w:t>
      </w:r>
    </w:p>
    <w:p w14:paraId="68823415">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6.法律、行政法规规定的其他条件。</w:t>
      </w:r>
    </w:p>
    <w:p w14:paraId="1E204C99">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注：1-6条由比选申请人自行承诺，详见响应文件格式（四）。</w:t>
      </w:r>
    </w:p>
    <w:p w14:paraId="7DFE2F2E">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（二）资格条件</w:t>
      </w:r>
    </w:p>
    <w:p w14:paraId="39AD1C6F">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1、比选申请人须具备工程造价咨询业务的经营范围。</w:t>
      </w:r>
    </w:p>
    <w:p w14:paraId="228C9B6C">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注：提供有效的资质证书副本复印件或扫描件并加盖比选申请人公章。</w:t>
      </w:r>
    </w:p>
    <w:p w14:paraId="5811928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2、拟派项目人员要求</w:t>
      </w:r>
    </w:p>
    <w:p w14:paraId="0EA0D22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(1).项目负责人（1名）</w:t>
      </w:r>
    </w:p>
    <w:p w14:paraId="3DA298E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须为比选申请人本单位职工，具有土建或安装专业一级造价工程师资格证书，并注册在本单位。</w:t>
      </w:r>
    </w:p>
    <w:p w14:paraId="1A1C557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（提供注册证、身份证、比选申请人与拟派人员截止投标时间6个月内任一个月拟派人员在比选申请人的社保证明资料的复印件。）</w:t>
      </w:r>
    </w:p>
    <w:p w14:paraId="0EAA0D6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(2).技术负责人（1名）：</w:t>
      </w:r>
    </w:p>
    <w:p w14:paraId="57812EA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须为比选申请人本单位职工，具有土建或安装专业一级造价工程师资格证书，并注册在本单位。</w:t>
      </w:r>
    </w:p>
    <w:p w14:paraId="06EE246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（提供注册证、身份证、比选申请人与拟派人员截止投标时间6个月内任意一个月拟派人员在比选申请人的社保证明资料的复印件。）</w:t>
      </w:r>
    </w:p>
    <w:p w14:paraId="21AF4CE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(3).其他拟派人员（2名）</w:t>
      </w:r>
    </w:p>
    <w:p w14:paraId="7C6ADD6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①土建专业负责人1名， 须为比选申请人本单位职工，具有土建专业二级及以上造价工程师资格证书，并注册在本单位。</w:t>
      </w:r>
    </w:p>
    <w:p w14:paraId="6EB0224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②安装专业负责人1名， 须为比选申请人本单位职工，具有安装专业二级及以上造价工程师资格证书，并注册在本单位。</w:t>
      </w:r>
    </w:p>
    <w:p w14:paraId="7E31A70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（提供注册证、身份证、比选申请人与拟派人员截止投标时间6个月内任意一个月拟派人员在比选申请人的社保证明资料的复印件。）</w:t>
      </w:r>
    </w:p>
    <w:p w14:paraId="443135DF">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三、服务内容及要求</w:t>
      </w:r>
    </w:p>
    <w:p w14:paraId="45FC103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（一）项目概况</w:t>
      </w:r>
    </w:p>
    <w:p w14:paraId="6339D75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1.项目名称：巴南区龙洲水岸片区城市更新项目-本体修缮改造工程</w:t>
      </w:r>
    </w:p>
    <w:p w14:paraId="3BC8DE5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2.建设地点：巴南区。</w:t>
      </w:r>
    </w:p>
    <w:p w14:paraId="2D78D5D0">
      <w:pPr>
        <w:keepNext w:val="0"/>
        <w:keepLines w:val="0"/>
        <w:pageBreakBefore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方正仿宋_GBK" w:hAnsi="方正仿宋_GBK" w:eastAsia="方正仿宋_GBK" w:cs="方正仿宋_GBK"/>
          <w:color w:val="000000"/>
          <w:kern w:val="2"/>
          <w:sz w:val="32"/>
          <w:szCs w:val="32"/>
          <w:lang w:val="en-US" w:eastAsia="zh-CN" w:bidi="ar"/>
        </w:rPr>
        <w:t>3.建设规模及内容：</w:t>
      </w:r>
      <w:r>
        <w:rPr>
          <w:rFonts w:hint="eastAsia" w:ascii="方正仿宋_GBK" w:hAnsi="方正仿宋_GBK" w:eastAsia="方正仿宋_GBK" w:cs="方正仿宋_GBK"/>
          <w:sz w:val="32"/>
          <w:szCs w:val="32"/>
          <w:lang w:val="en-US" w:eastAsia="zh-CN"/>
        </w:rPr>
        <w:t>本项目更新规模约161万平方米。主要内容包括龙洲水岸闲置商务商业资产盘活修缮与配套更新改造，实施外立面修缮整治2万平方米，完善消防、管网、照明灯配套设施，提升商业商务功能；区域内酒店载体修缮整治与配套功能提升工程约3万平方米；码头(约1.5万平方米)及水厂(约0.5万平方米)等闲置场地更新改建，实施场地整治、功能重塑与配套工程；水银口防控洞及周边地块环境提升改造约0.3万平方米，完善安全防护、景观绿化与便民设施；龙洲湾公园、通江公园、鱼洞老街公共空间提升改造，实施景观优化，步道贯通、绿化提升、照明及配套服务设施完善。</w:t>
      </w:r>
    </w:p>
    <w:p w14:paraId="6607312B">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（二）服务内容</w:t>
      </w:r>
    </w:p>
    <w:p w14:paraId="11C7349C">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自中标通知书发出之日起3日内组建“巴南区龙洲水岸片区城市更新项目-本体修缮改造工程施工阶段工程造价全过程控制小组”(具体人员名单附后，人员发生变化时需提前书面通知委托人，并取得委托人同意，所更换的人员资质、经验等不得低于原人员)；</w:t>
      </w:r>
    </w:p>
    <w:p w14:paraId="55079227">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2.编制施工阶段工程造价全过程驻场跟踪审计工作大纲,包括：项目概况、服务范围、工作组织、工作进度、人员安排、实施方案、服务质量等；</w:t>
      </w:r>
    </w:p>
    <w:p w14:paraId="71BED688">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w:t>
      </w:r>
      <w:r>
        <w:rPr>
          <w:rFonts w:hint="default" w:ascii="方正仿宋_GBK" w:hAnsi="方正仿宋_GBK" w:eastAsia="方正仿宋_GBK" w:cs="方正仿宋_GBK"/>
          <w:color w:val="000000"/>
          <w:kern w:val="2"/>
          <w:sz w:val="32"/>
          <w:szCs w:val="32"/>
          <w:lang w:val="en-US" w:eastAsia="zh-CN" w:bidi="ar"/>
        </w:rPr>
        <w:t>.协助甲方审核确定咨询工作大纲及各专项方案并提出优化建议</w:t>
      </w:r>
      <w:r>
        <w:rPr>
          <w:rFonts w:hint="eastAsia" w:ascii="方正仿宋_GBK" w:hAnsi="方正仿宋_GBK" w:eastAsia="方正仿宋_GBK" w:cs="方正仿宋_GBK"/>
          <w:color w:val="000000"/>
          <w:kern w:val="2"/>
          <w:sz w:val="32"/>
          <w:szCs w:val="32"/>
          <w:lang w:val="en-US" w:eastAsia="zh-CN" w:bidi="ar"/>
        </w:rPr>
        <w:t>；</w:t>
      </w:r>
    </w:p>
    <w:p w14:paraId="7E3AFB20">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w:t>
      </w:r>
      <w:r>
        <w:rPr>
          <w:rFonts w:hint="default" w:ascii="方正仿宋_GBK" w:hAnsi="方正仿宋_GBK" w:eastAsia="方正仿宋_GBK" w:cs="方正仿宋_GBK"/>
          <w:color w:val="000000"/>
          <w:kern w:val="2"/>
          <w:sz w:val="32"/>
          <w:szCs w:val="32"/>
          <w:lang w:val="en-US" w:eastAsia="zh-CN" w:bidi="ar"/>
        </w:rPr>
        <w:t>.提出与造价咨询相关的法律</w:t>
      </w:r>
      <w:r>
        <w:rPr>
          <w:rFonts w:hint="eastAsia" w:ascii="方正仿宋_GBK" w:hAnsi="方正仿宋_GBK" w:eastAsia="方正仿宋_GBK" w:cs="方正仿宋_GBK"/>
          <w:color w:val="000000"/>
          <w:kern w:val="2"/>
          <w:sz w:val="32"/>
          <w:szCs w:val="32"/>
          <w:lang w:val="en-US" w:eastAsia="zh-CN" w:bidi="ar"/>
        </w:rPr>
        <w:t>、</w:t>
      </w:r>
      <w:r>
        <w:rPr>
          <w:rFonts w:hint="default" w:ascii="方正仿宋_GBK" w:hAnsi="方正仿宋_GBK" w:eastAsia="方正仿宋_GBK" w:cs="方正仿宋_GBK"/>
          <w:color w:val="000000"/>
          <w:kern w:val="2"/>
          <w:sz w:val="32"/>
          <w:szCs w:val="32"/>
          <w:lang w:val="en-US" w:eastAsia="zh-CN" w:bidi="ar"/>
        </w:rPr>
        <w:t>法规及政策咨询</w:t>
      </w:r>
      <w:r>
        <w:rPr>
          <w:rFonts w:hint="eastAsia" w:ascii="方正仿宋_GBK" w:hAnsi="方正仿宋_GBK" w:eastAsia="方正仿宋_GBK" w:cs="方正仿宋_GBK"/>
          <w:color w:val="000000"/>
          <w:kern w:val="2"/>
          <w:sz w:val="32"/>
          <w:szCs w:val="32"/>
          <w:lang w:val="en-US" w:eastAsia="zh-CN" w:bidi="ar"/>
        </w:rPr>
        <w:t>；</w:t>
      </w:r>
    </w:p>
    <w:p w14:paraId="3FF7BB02">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5.协助甲方进行合同管理，负责合同的解释及对有关合同上的问题提供意见；</w:t>
      </w:r>
    </w:p>
    <w:p w14:paraId="7215F834">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6.参与甲方的会议；</w:t>
      </w:r>
    </w:p>
    <w:p w14:paraId="10C49446">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7.与甲方及监理单位一同紧密合作，在全过程控制阶段密切控制工程造价；</w:t>
      </w:r>
    </w:p>
    <w:p w14:paraId="74798A91">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8</w:t>
      </w:r>
      <w:r>
        <w:rPr>
          <w:rFonts w:hint="default" w:ascii="方正仿宋_GBK" w:hAnsi="方正仿宋_GBK" w:eastAsia="方正仿宋_GBK" w:cs="方正仿宋_GBK"/>
          <w:color w:val="000000"/>
          <w:kern w:val="2"/>
          <w:sz w:val="32"/>
          <w:szCs w:val="32"/>
          <w:lang w:val="en-US" w:eastAsia="zh-CN" w:bidi="ar"/>
        </w:rPr>
        <w:t>.参与对施工单位的咨询工作大纲和涉及造价的技术方案进行审核，为甲方提供造价咨询意见；</w:t>
      </w:r>
    </w:p>
    <w:p w14:paraId="34F9B784">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9</w:t>
      </w:r>
      <w:r>
        <w:rPr>
          <w:rFonts w:hint="default" w:ascii="方正仿宋_GBK" w:hAnsi="方正仿宋_GBK" w:eastAsia="方正仿宋_GBK" w:cs="方正仿宋_GBK"/>
          <w:color w:val="000000"/>
          <w:kern w:val="2"/>
          <w:sz w:val="32"/>
          <w:szCs w:val="32"/>
          <w:lang w:val="en-US" w:eastAsia="zh-CN" w:bidi="ar"/>
        </w:rPr>
        <w:t>.对全过程形成的资料进行收集、归档、整理；</w:t>
      </w:r>
    </w:p>
    <w:p w14:paraId="5864F649">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10</w:t>
      </w:r>
      <w:r>
        <w:rPr>
          <w:rFonts w:hint="default" w:ascii="方正仿宋_GBK" w:hAnsi="方正仿宋_GBK" w:eastAsia="方正仿宋_GBK" w:cs="方正仿宋_GBK"/>
          <w:color w:val="000000"/>
          <w:kern w:val="2"/>
          <w:sz w:val="32"/>
          <w:szCs w:val="32"/>
          <w:lang w:val="en-US" w:eastAsia="zh-CN" w:bidi="ar"/>
        </w:rPr>
        <w:t>.参加设计交底会议、施工协调会</w:t>
      </w:r>
      <w:r>
        <w:rPr>
          <w:rFonts w:hint="eastAsia" w:ascii="方正仿宋_GBK" w:hAnsi="方正仿宋_GBK" w:eastAsia="方正仿宋_GBK" w:cs="方正仿宋_GBK"/>
          <w:color w:val="000000"/>
          <w:kern w:val="2"/>
          <w:sz w:val="32"/>
          <w:szCs w:val="32"/>
          <w:lang w:val="en-US" w:eastAsia="zh-CN" w:bidi="ar"/>
        </w:rPr>
        <w:t>，</w:t>
      </w:r>
      <w:r>
        <w:rPr>
          <w:rFonts w:hint="default" w:ascii="方正仿宋_GBK" w:hAnsi="方正仿宋_GBK" w:eastAsia="方正仿宋_GBK" w:cs="方正仿宋_GBK"/>
          <w:color w:val="000000"/>
          <w:kern w:val="2"/>
          <w:sz w:val="32"/>
          <w:szCs w:val="32"/>
          <w:lang w:val="en-US" w:eastAsia="zh-CN" w:bidi="ar"/>
        </w:rPr>
        <w:t>工程监理例会</w:t>
      </w:r>
      <w:r>
        <w:rPr>
          <w:rFonts w:hint="eastAsia" w:ascii="方正仿宋_GBK" w:hAnsi="方正仿宋_GBK" w:eastAsia="方正仿宋_GBK" w:cs="方正仿宋_GBK"/>
          <w:color w:val="000000"/>
          <w:kern w:val="2"/>
          <w:sz w:val="32"/>
          <w:szCs w:val="32"/>
          <w:lang w:val="en-US" w:eastAsia="zh-CN" w:bidi="ar"/>
        </w:rPr>
        <w:t>，</w:t>
      </w:r>
      <w:r>
        <w:rPr>
          <w:rFonts w:hint="default" w:ascii="方正仿宋_GBK" w:hAnsi="方正仿宋_GBK" w:eastAsia="方正仿宋_GBK" w:cs="方正仿宋_GBK"/>
          <w:color w:val="000000"/>
          <w:kern w:val="2"/>
          <w:sz w:val="32"/>
          <w:szCs w:val="32"/>
          <w:lang w:val="en-US" w:eastAsia="zh-CN" w:bidi="ar"/>
        </w:rPr>
        <w:t>及时掌握施工过程中对造价的影响情况</w:t>
      </w:r>
      <w:r>
        <w:rPr>
          <w:rFonts w:hint="eastAsia" w:ascii="方正仿宋_GBK" w:hAnsi="方正仿宋_GBK" w:eastAsia="方正仿宋_GBK" w:cs="方正仿宋_GBK"/>
          <w:color w:val="000000"/>
          <w:kern w:val="2"/>
          <w:sz w:val="32"/>
          <w:szCs w:val="32"/>
          <w:lang w:val="en-US" w:eastAsia="zh-CN" w:bidi="ar"/>
        </w:rPr>
        <w:t>；</w:t>
      </w:r>
    </w:p>
    <w:p w14:paraId="157AAB22">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default" w:ascii="方正仿宋_GBK" w:hAnsi="方正仿宋_GBK" w:eastAsia="方正仿宋_GBK" w:cs="方正仿宋_GBK"/>
          <w:color w:val="000000"/>
          <w:kern w:val="2"/>
          <w:sz w:val="32"/>
          <w:szCs w:val="32"/>
          <w:lang w:val="en-US" w:eastAsia="zh-CN" w:bidi="ar"/>
        </w:rPr>
        <w:t>1</w:t>
      </w:r>
      <w:r>
        <w:rPr>
          <w:rFonts w:hint="eastAsia" w:ascii="方正仿宋_GBK" w:hAnsi="方正仿宋_GBK" w:eastAsia="方正仿宋_GBK" w:cs="方正仿宋_GBK"/>
          <w:color w:val="000000"/>
          <w:kern w:val="2"/>
          <w:sz w:val="32"/>
          <w:szCs w:val="32"/>
          <w:lang w:val="en-US" w:eastAsia="zh-CN" w:bidi="ar"/>
        </w:rPr>
        <w:t>1</w:t>
      </w:r>
      <w:r>
        <w:rPr>
          <w:rFonts w:hint="default" w:ascii="方正仿宋_GBK" w:hAnsi="方正仿宋_GBK" w:eastAsia="方正仿宋_GBK" w:cs="方正仿宋_GBK"/>
          <w:color w:val="000000"/>
          <w:kern w:val="2"/>
          <w:sz w:val="32"/>
          <w:szCs w:val="32"/>
          <w:lang w:val="en-US" w:eastAsia="zh-CN" w:bidi="ar"/>
        </w:rPr>
        <w:t>.参加甲方召开的工程变更会议，按甲方要求对考虑中的工程变更建议提供费用增减估算，作为控制造价的依据或变更方案的比选依据；</w:t>
      </w:r>
    </w:p>
    <w:p w14:paraId="154B1230">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default" w:ascii="方正仿宋_GBK" w:hAnsi="方正仿宋_GBK" w:eastAsia="方正仿宋_GBK" w:cs="方正仿宋_GBK"/>
          <w:color w:val="000000"/>
          <w:kern w:val="2"/>
          <w:sz w:val="32"/>
          <w:szCs w:val="32"/>
          <w:lang w:val="en-US" w:eastAsia="zh-CN" w:bidi="ar"/>
        </w:rPr>
        <w:t>1</w:t>
      </w:r>
      <w:r>
        <w:rPr>
          <w:rFonts w:hint="eastAsia" w:ascii="方正仿宋_GBK" w:hAnsi="方正仿宋_GBK" w:eastAsia="方正仿宋_GBK" w:cs="方正仿宋_GBK"/>
          <w:color w:val="000000"/>
          <w:kern w:val="2"/>
          <w:sz w:val="32"/>
          <w:szCs w:val="32"/>
          <w:lang w:val="en-US" w:eastAsia="zh-CN" w:bidi="ar"/>
        </w:rPr>
        <w:t>2</w:t>
      </w:r>
      <w:r>
        <w:rPr>
          <w:rFonts w:hint="default" w:ascii="方正仿宋_GBK" w:hAnsi="方正仿宋_GBK" w:eastAsia="方正仿宋_GBK" w:cs="方正仿宋_GBK"/>
          <w:color w:val="000000"/>
          <w:kern w:val="2"/>
          <w:sz w:val="32"/>
          <w:szCs w:val="32"/>
          <w:lang w:val="en-US" w:eastAsia="zh-CN" w:bidi="ar"/>
        </w:rPr>
        <w:t>.对重大设计变更进行经济论证，并就重大设计变更的造价进行测算分析；</w:t>
      </w:r>
    </w:p>
    <w:p w14:paraId="5153AFBE">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default" w:ascii="方正仿宋_GBK" w:hAnsi="方正仿宋_GBK" w:eastAsia="方正仿宋_GBK" w:cs="方正仿宋_GBK"/>
          <w:color w:val="000000"/>
          <w:kern w:val="2"/>
          <w:sz w:val="32"/>
          <w:szCs w:val="32"/>
          <w:lang w:val="en-US" w:eastAsia="zh-CN" w:bidi="ar"/>
        </w:rPr>
        <w:t>1</w:t>
      </w:r>
      <w:r>
        <w:rPr>
          <w:rFonts w:hint="eastAsia" w:ascii="方正仿宋_GBK" w:hAnsi="方正仿宋_GBK" w:eastAsia="方正仿宋_GBK" w:cs="方正仿宋_GBK"/>
          <w:color w:val="000000"/>
          <w:kern w:val="2"/>
          <w:sz w:val="32"/>
          <w:szCs w:val="32"/>
          <w:lang w:val="en-US" w:eastAsia="zh-CN" w:bidi="ar"/>
        </w:rPr>
        <w:t>3</w:t>
      </w:r>
      <w:r>
        <w:rPr>
          <w:rFonts w:hint="default" w:ascii="方正仿宋_GBK" w:hAnsi="方正仿宋_GBK" w:eastAsia="方正仿宋_GBK" w:cs="方正仿宋_GBK"/>
          <w:color w:val="000000"/>
          <w:kern w:val="2"/>
          <w:sz w:val="32"/>
          <w:szCs w:val="32"/>
          <w:lang w:val="en-US" w:eastAsia="zh-CN" w:bidi="ar"/>
        </w:rPr>
        <w:t>.计算工程变更的增减值；建立变更管理系统，对变更形成流水台账。对重大变更编制预算并协助业主报送审核；</w:t>
      </w:r>
    </w:p>
    <w:p w14:paraId="73C2EC92">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default" w:ascii="方正仿宋_GBK" w:hAnsi="方正仿宋_GBK" w:eastAsia="方正仿宋_GBK" w:cs="方正仿宋_GBK"/>
          <w:color w:val="000000"/>
          <w:kern w:val="2"/>
          <w:sz w:val="32"/>
          <w:szCs w:val="32"/>
          <w:lang w:val="en-US" w:eastAsia="zh-CN" w:bidi="ar"/>
        </w:rPr>
        <w:t>1</w:t>
      </w:r>
      <w:r>
        <w:rPr>
          <w:rFonts w:hint="eastAsia" w:ascii="方正仿宋_GBK" w:hAnsi="方正仿宋_GBK" w:eastAsia="方正仿宋_GBK" w:cs="方正仿宋_GBK"/>
          <w:color w:val="000000"/>
          <w:kern w:val="2"/>
          <w:sz w:val="32"/>
          <w:szCs w:val="32"/>
          <w:lang w:val="en-US" w:eastAsia="zh-CN" w:bidi="ar"/>
        </w:rPr>
        <w:t>4</w:t>
      </w:r>
      <w:r>
        <w:rPr>
          <w:rFonts w:hint="default" w:ascii="方正仿宋_GBK" w:hAnsi="方正仿宋_GBK" w:eastAsia="方正仿宋_GBK" w:cs="方正仿宋_GBK"/>
          <w:color w:val="000000"/>
          <w:kern w:val="2"/>
          <w:sz w:val="32"/>
          <w:szCs w:val="32"/>
          <w:lang w:val="en-US" w:eastAsia="zh-CN" w:bidi="ar"/>
        </w:rPr>
        <w:t>.评估经济索偿，并参与协助甲方与施工单位达成协议；</w:t>
      </w:r>
    </w:p>
    <w:p w14:paraId="0662742E">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default" w:ascii="方正仿宋_GBK" w:hAnsi="方正仿宋_GBK" w:eastAsia="方正仿宋_GBK" w:cs="方正仿宋_GBK"/>
          <w:color w:val="000000"/>
          <w:kern w:val="2"/>
          <w:sz w:val="32"/>
          <w:szCs w:val="32"/>
          <w:lang w:val="en-US" w:eastAsia="zh-CN" w:bidi="ar"/>
        </w:rPr>
        <w:t>1</w:t>
      </w:r>
      <w:r>
        <w:rPr>
          <w:rFonts w:hint="eastAsia" w:ascii="方正仿宋_GBK" w:hAnsi="方正仿宋_GBK" w:eastAsia="方正仿宋_GBK" w:cs="方正仿宋_GBK"/>
          <w:color w:val="000000"/>
          <w:kern w:val="2"/>
          <w:sz w:val="32"/>
          <w:szCs w:val="32"/>
          <w:lang w:val="en-US" w:eastAsia="zh-CN" w:bidi="ar"/>
        </w:rPr>
        <w:t>5</w:t>
      </w:r>
      <w:r>
        <w:rPr>
          <w:rFonts w:hint="default" w:ascii="方正仿宋_GBK" w:hAnsi="方正仿宋_GBK" w:eastAsia="方正仿宋_GBK" w:cs="方正仿宋_GBK"/>
          <w:color w:val="000000"/>
          <w:kern w:val="2"/>
          <w:sz w:val="32"/>
          <w:szCs w:val="32"/>
          <w:lang w:val="en-US" w:eastAsia="zh-CN" w:bidi="ar"/>
        </w:rPr>
        <w:t>.工程计量、支付的确定，审核工程款支付申请，提出资金使用计划建议；</w:t>
      </w:r>
    </w:p>
    <w:p w14:paraId="300C1A63">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eastAsia" w:ascii="方正仿宋_GBK" w:hAnsi="方正仿宋_GBK" w:eastAsia="方正仿宋_GBK" w:cs="方正仿宋_GBK"/>
          <w:b w:val="0"/>
          <w:color w:val="000000"/>
          <w:kern w:val="2"/>
          <w:sz w:val="32"/>
          <w:szCs w:val="32"/>
          <w:lang w:val="en-US" w:eastAsia="zh-CN" w:bidi="ar"/>
        </w:rPr>
        <w:t>16</w:t>
      </w:r>
      <w:r>
        <w:rPr>
          <w:rFonts w:hint="default" w:ascii="方正仿宋_GBK" w:hAnsi="方正仿宋_GBK" w:eastAsia="方正仿宋_GBK" w:cs="方正仿宋_GBK"/>
          <w:b w:val="0"/>
          <w:color w:val="000000"/>
          <w:kern w:val="2"/>
          <w:sz w:val="32"/>
          <w:szCs w:val="32"/>
          <w:lang w:val="en-US" w:eastAsia="zh-CN" w:bidi="ar"/>
        </w:rPr>
        <w:t>.施工过程的设计变更、工程签证、材料设备认质核价、专业分包造价控制和工程索赔的处理；</w:t>
      </w:r>
    </w:p>
    <w:p w14:paraId="5751CE78">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1</w:t>
      </w:r>
      <w:r>
        <w:rPr>
          <w:rFonts w:hint="eastAsia" w:ascii="方正仿宋_GBK" w:hAnsi="方正仿宋_GBK" w:eastAsia="方正仿宋_GBK" w:cs="方正仿宋_GBK"/>
          <w:b w:val="0"/>
          <w:color w:val="000000"/>
          <w:kern w:val="2"/>
          <w:sz w:val="32"/>
          <w:szCs w:val="32"/>
          <w:lang w:val="en-US" w:eastAsia="zh-CN" w:bidi="ar"/>
        </w:rPr>
        <w:t>7</w:t>
      </w:r>
      <w:r>
        <w:rPr>
          <w:rFonts w:hint="default" w:ascii="方正仿宋_GBK" w:hAnsi="方正仿宋_GBK" w:eastAsia="方正仿宋_GBK" w:cs="方正仿宋_GBK"/>
          <w:b w:val="0"/>
          <w:color w:val="000000"/>
          <w:kern w:val="2"/>
          <w:sz w:val="32"/>
          <w:szCs w:val="32"/>
          <w:lang w:val="en-US" w:eastAsia="zh-CN" w:bidi="ar"/>
        </w:rPr>
        <w:t>.审核施工单位的施工进度报表，每月30日前提交施工单位的施工进度估值，提供工程的中期付款证明建议；</w:t>
      </w:r>
    </w:p>
    <w:p w14:paraId="0E97D250">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1</w:t>
      </w:r>
      <w:r>
        <w:rPr>
          <w:rFonts w:hint="eastAsia" w:ascii="方正仿宋_GBK" w:hAnsi="方正仿宋_GBK" w:eastAsia="方正仿宋_GBK" w:cs="方正仿宋_GBK"/>
          <w:b w:val="0"/>
          <w:color w:val="000000"/>
          <w:kern w:val="2"/>
          <w:sz w:val="32"/>
          <w:szCs w:val="32"/>
          <w:lang w:val="en-US" w:eastAsia="zh-CN" w:bidi="ar"/>
        </w:rPr>
        <w:t>8</w:t>
      </w:r>
      <w:r>
        <w:rPr>
          <w:rFonts w:hint="default" w:ascii="方正仿宋_GBK" w:hAnsi="方正仿宋_GBK" w:eastAsia="方正仿宋_GBK" w:cs="方正仿宋_GBK"/>
          <w:b w:val="0"/>
          <w:color w:val="000000"/>
          <w:kern w:val="2"/>
          <w:sz w:val="32"/>
          <w:szCs w:val="32"/>
          <w:lang w:val="en-US" w:eastAsia="zh-CN" w:bidi="ar"/>
        </w:rPr>
        <w:t>.每月对当月完成的施工进度及其工程内容对应的材料品种、规格进行收集确认，以备结算调差，对缺项材料组织相关人员进行认质核价；</w:t>
      </w:r>
    </w:p>
    <w:p w14:paraId="417B86E7">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1</w:t>
      </w:r>
      <w:r>
        <w:rPr>
          <w:rFonts w:hint="eastAsia" w:ascii="方正仿宋_GBK" w:hAnsi="方正仿宋_GBK" w:eastAsia="方正仿宋_GBK" w:cs="方正仿宋_GBK"/>
          <w:b w:val="0"/>
          <w:color w:val="000000"/>
          <w:kern w:val="2"/>
          <w:sz w:val="32"/>
          <w:szCs w:val="32"/>
          <w:lang w:val="en-US" w:eastAsia="zh-CN" w:bidi="ar"/>
        </w:rPr>
        <w:t>9</w:t>
      </w:r>
      <w:r>
        <w:rPr>
          <w:rFonts w:hint="default" w:ascii="方正仿宋_GBK" w:hAnsi="方正仿宋_GBK" w:eastAsia="方正仿宋_GBK" w:cs="方正仿宋_GBK"/>
          <w:b w:val="0"/>
          <w:color w:val="000000"/>
          <w:kern w:val="2"/>
          <w:sz w:val="32"/>
          <w:szCs w:val="32"/>
          <w:lang w:val="en-US" w:eastAsia="zh-CN" w:bidi="ar"/>
        </w:rPr>
        <w:t>.建立合同管理、进度款、进度材料使用情况、变更、签证、索赔与反索赔等一系列重要台账，并每月报送监理和业主；</w:t>
      </w:r>
    </w:p>
    <w:p w14:paraId="7B0C24FB">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eastAsia" w:ascii="方正仿宋_GBK" w:hAnsi="方正仿宋_GBK" w:eastAsia="方正仿宋_GBK" w:cs="方正仿宋_GBK"/>
          <w:b w:val="0"/>
          <w:color w:val="000000"/>
          <w:kern w:val="2"/>
          <w:sz w:val="32"/>
          <w:szCs w:val="32"/>
          <w:lang w:val="en-US" w:eastAsia="zh-CN" w:bidi="ar"/>
        </w:rPr>
        <w:t>20</w:t>
      </w:r>
      <w:r>
        <w:rPr>
          <w:rFonts w:hint="default" w:ascii="方正仿宋_GBK" w:hAnsi="方正仿宋_GBK" w:eastAsia="方正仿宋_GBK" w:cs="方正仿宋_GBK"/>
          <w:b w:val="0"/>
          <w:color w:val="000000"/>
          <w:kern w:val="2"/>
          <w:sz w:val="32"/>
          <w:szCs w:val="32"/>
          <w:lang w:val="en-US" w:eastAsia="zh-CN" w:bidi="ar"/>
        </w:rPr>
        <w:t>.参与现场收方并对其真实性、准确性进行审核和确认；</w:t>
      </w:r>
    </w:p>
    <w:p w14:paraId="484DDE23">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2</w:t>
      </w:r>
      <w:r>
        <w:rPr>
          <w:rFonts w:hint="eastAsia" w:ascii="方正仿宋_GBK" w:hAnsi="方正仿宋_GBK" w:eastAsia="方正仿宋_GBK" w:cs="方正仿宋_GBK"/>
          <w:b w:val="0"/>
          <w:color w:val="000000"/>
          <w:kern w:val="2"/>
          <w:sz w:val="32"/>
          <w:szCs w:val="32"/>
          <w:lang w:val="en-US" w:eastAsia="zh-CN" w:bidi="ar"/>
        </w:rPr>
        <w:t>1</w:t>
      </w:r>
      <w:r>
        <w:rPr>
          <w:rFonts w:hint="default" w:ascii="方正仿宋_GBK" w:hAnsi="方正仿宋_GBK" w:eastAsia="方正仿宋_GBK" w:cs="方正仿宋_GBK"/>
          <w:b w:val="0"/>
          <w:color w:val="000000"/>
          <w:kern w:val="2"/>
          <w:sz w:val="32"/>
          <w:szCs w:val="32"/>
          <w:lang w:val="en-US" w:eastAsia="zh-CN" w:bidi="ar"/>
        </w:rPr>
        <w:t>.参与和造价密切相关的隐蔽工程、工程阶段性验收，以及单位工程的竣工验收和过程监控；</w:t>
      </w:r>
    </w:p>
    <w:p w14:paraId="674D7C52">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2</w:t>
      </w:r>
      <w:r>
        <w:rPr>
          <w:rFonts w:hint="eastAsia" w:ascii="方正仿宋_GBK" w:hAnsi="方正仿宋_GBK" w:eastAsia="方正仿宋_GBK" w:cs="方正仿宋_GBK"/>
          <w:b w:val="0"/>
          <w:color w:val="000000"/>
          <w:kern w:val="2"/>
          <w:sz w:val="32"/>
          <w:szCs w:val="32"/>
          <w:lang w:val="en-US" w:eastAsia="zh-CN" w:bidi="ar"/>
        </w:rPr>
        <w:t>2</w:t>
      </w:r>
      <w:r>
        <w:rPr>
          <w:rFonts w:hint="default" w:ascii="方正仿宋_GBK" w:hAnsi="方正仿宋_GBK" w:eastAsia="方正仿宋_GBK" w:cs="方正仿宋_GBK"/>
          <w:b w:val="0"/>
          <w:color w:val="000000"/>
          <w:kern w:val="2"/>
          <w:sz w:val="32"/>
          <w:szCs w:val="32"/>
          <w:lang w:val="en-US" w:eastAsia="zh-CN" w:bidi="ar"/>
        </w:rPr>
        <w:t>.竣工结算审核。在施工单位提交结算资料的基础上完成结算审核并出具正式的内审审计报告，协助项目业主送审计部门审计；</w:t>
      </w:r>
    </w:p>
    <w:p w14:paraId="22BE0D2E">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2</w:t>
      </w:r>
      <w:r>
        <w:rPr>
          <w:rFonts w:hint="eastAsia" w:ascii="方正仿宋_GBK" w:hAnsi="方正仿宋_GBK" w:eastAsia="方正仿宋_GBK" w:cs="方正仿宋_GBK"/>
          <w:b w:val="0"/>
          <w:color w:val="000000"/>
          <w:kern w:val="2"/>
          <w:sz w:val="32"/>
          <w:szCs w:val="32"/>
          <w:lang w:val="en-US" w:eastAsia="zh-CN" w:bidi="ar"/>
        </w:rPr>
        <w:t>3</w:t>
      </w:r>
      <w:r>
        <w:rPr>
          <w:rFonts w:hint="default" w:ascii="方正仿宋_GBK" w:hAnsi="方正仿宋_GBK" w:eastAsia="方正仿宋_GBK" w:cs="方正仿宋_GBK"/>
          <w:b w:val="0"/>
          <w:color w:val="000000"/>
          <w:kern w:val="2"/>
          <w:sz w:val="32"/>
          <w:szCs w:val="32"/>
          <w:lang w:val="en-US" w:eastAsia="zh-CN" w:bidi="ar"/>
        </w:rPr>
        <w:t>.配合审计部门对工程竣工结算的审计；</w:t>
      </w:r>
    </w:p>
    <w:p w14:paraId="728F9D35">
      <w:pPr>
        <w:pStyle w:val="2"/>
        <w:ind w:firstLine="640" w:firstLineChars="200"/>
        <w:rPr>
          <w:rFonts w:hint="default" w:ascii="方正仿宋_GBK" w:hAnsi="方正仿宋_GBK" w:eastAsia="方正仿宋_GBK" w:cs="方正仿宋_GBK"/>
          <w:b w:val="0"/>
          <w:color w:val="000000"/>
          <w:kern w:val="2"/>
          <w:sz w:val="32"/>
          <w:szCs w:val="32"/>
          <w:lang w:val="en-US" w:eastAsia="zh-CN" w:bidi="ar"/>
        </w:rPr>
      </w:pPr>
      <w:r>
        <w:rPr>
          <w:rFonts w:hint="default" w:ascii="方正仿宋_GBK" w:hAnsi="方正仿宋_GBK" w:eastAsia="方正仿宋_GBK" w:cs="方正仿宋_GBK"/>
          <w:b w:val="0"/>
          <w:color w:val="000000"/>
          <w:kern w:val="2"/>
          <w:sz w:val="32"/>
          <w:szCs w:val="32"/>
          <w:lang w:val="en-US" w:eastAsia="zh-CN" w:bidi="ar"/>
        </w:rPr>
        <w:t>2</w:t>
      </w:r>
      <w:r>
        <w:rPr>
          <w:rFonts w:hint="eastAsia" w:ascii="方正仿宋_GBK" w:hAnsi="方正仿宋_GBK" w:eastAsia="方正仿宋_GBK" w:cs="方正仿宋_GBK"/>
          <w:b w:val="0"/>
          <w:color w:val="000000"/>
          <w:kern w:val="2"/>
          <w:sz w:val="32"/>
          <w:szCs w:val="32"/>
          <w:lang w:val="en-US" w:eastAsia="zh-CN" w:bidi="ar"/>
        </w:rPr>
        <w:t>4</w:t>
      </w:r>
      <w:r>
        <w:rPr>
          <w:rFonts w:hint="default" w:ascii="方正仿宋_GBK" w:hAnsi="方正仿宋_GBK" w:eastAsia="方正仿宋_GBK" w:cs="方正仿宋_GBK"/>
          <w:b w:val="0"/>
          <w:color w:val="000000"/>
          <w:kern w:val="2"/>
          <w:sz w:val="32"/>
          <w:szCs w:val="32"/>
          <w:lang w:val="en-US" w:eastAsia="zh-CN" w:bidi="ar"/>
        </w:rPr>
        <w:t xml:space="preserve">.与工程造价相关的其它过程审核工作。 </w:t>
      </w:r>
    </w:p>
    <w:p w14:paraId="1924E5BF">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（三）服务要求</w:t>
      </w:r>
    </w:p>
    <w:p w14:paraId="5AF9F7E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1.咨询成果文件应符合:咨询人应严格根据委托人要求，按相关规范开展造价咨询服务，工程造价咨询成果文件应符合:《建设工程造价咨询规范》(GB/T 51095)、《建设工程造价咨询成果文件质量标准》(CECA/GC7-2012)、《建设项目全过程造价咨询规程》(CECA/GC4-2017)、《工程造价咨询企业服务清单》(CCEA/GC11-2019)等相关规定及行业标准要求。</w:t>
      </w:r>
    </w:p>
    <w:p w14:paraId="1C57290E">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质量违约责任：甲方委托咨询单位（含上级部门）审定的工程结算造价与乙方已审定的工程结算造价相比误差率超过±3%时，除按比例扣服务费外【扣除办法：服务费总额×（误差率绝对值-3%）】，超出±3%的审减效益费由乙方承担（在服务费中扣除）。</w:t>
      </w:r>
    </w:p>
    <w:p w14:paraId="2CE1AA8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3.乙方严格遵守甲方工作要求。</w:t>
      </w:r>
    </w:p>
    <w:p w14:paraId="6158439B">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四、项目商务要求</w:t>
      </w:r>
    </w:p>
    <w:p w14:paraId="5C1F4AD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（一）服务期限</w:t>
      </w:r>
    </w:p>
    <w:p w14:paraId="06B5A13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自合中标通知书发出之日起至工程项目完成结算评审（或备案）的各项工作之日止。</w:t>
      </w:r>
    </w:p>
    <w:p w14:paraId="1384704D">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（二）报价原则</w:t>
      </w:r>
    </w:p>
    <w:p w14:paraId="23EE85EA">
      <w:pPr>
        <w:pStyle w:val="6"/>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kern w:val="2"/>
          <w:sz w:val="32"/>
          <w:szCs w:val="32"/>
          <w:lang w:val="en-US" w:eastAsia="zh-CN" w:bidi="ar-SA"/>
        </w:rPr>
      </w:pPr>
      <w:r>
        <w:rPr>
          <w:rFonts w:hint="eastAsia" w:ascii="方正仿宋_GBK" w:hAnsi="方正仿宋_GBK" w:eastAsia="方正仿宋_GBK" w:cs="方正仿宋_GBK"/>
          <w:color w:val="000000"/>
          <w:kern w:val="2"/>
          <w:sz w:val="32"/>
          <w:szCs w:val="32"/>
          <w:lang w:val="en-US" w:eastAsia="zh-CN" w:bidi="ar-SA"/>
        </w:rPr>
        <w:t>基本费根据重庆市巴南区发展和改革委员会、重庆市巴南区财政局《关于规范政府投资工程建设项目相关服务费的通知》（巴南发改发〔2023〕39号）标准计算后下浮40%作为限价，投标人在此基础上以下浮比例作为报价依据，投标人的报价不得等于或</w:t>
      </w:r>
      <w:r>
        <w:rPr>
          <w:rFonts w:hint="eastAsia" w:ascii="方正仿宋_GBK" w:hAnsi="方正仿宋_GBK" w:eastAsia="方正仿宋_GBK" w:cs="方正仿宋_GBK"/>
          <w:color w:val="000000"/>
          <w:kern w:val="2"/>
          <w:sz w:val="32"/>
          <w:szCs w:val="32"/>
          <w:highlight w:val="none"/>
          <w:lang w:val="en-US" w:eastAsia="zh-CN" w:bidi="ar-SA"/>
        </w:rPr>
        <w:t>小于</w:t>
      </w:r>
      <w:r>
        <w:rPr>
          <w:rFonts w:hint="eastAsia" w:ascii="方正仿宋_GBK" w:hAnsi="方正仿宋_GBK" w:eastAsia="方正仿宋_GBK" w:cs="方正仿宋_GBK"/>
          <w:color w:val="000000"/>
          <w:kern w:val="2"/>
          <w:sz w:val="32"/>
          <w:szCs w:val="32"/>
          <w:lang w:val="en-US" w:eastAsia="zh-CN" w:bidi="ar-SA"/>
        </w:rPr>
        <w:t>40%。</w:t>
      </w:r>
    </w:p>
    <w:p w14:paraId="151FEF09">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（三）结算原则</w:t>
      </w:r>
    </w:p>
    <w:p w14:paraId="54B01A8D">
      <w:pPr>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最终</w:t>
      </w:r>
      <w:r>
        <w:rPr>
          <w:rFonts w:hint="eastAsia" w:ascii="方正仿宋_GBK" w:hAnsi="方正仿宋_GBK" w:eastAsia="方正仿宋_GBK" w:cs="方正仿宋_GBK"/>
          <w:color w:val="000000"/>
          <w:sz w:val="32"/>
          <w:szCs w:val="32"/>
          <w:lang w:val="en-US" w:eastAsia="zh-CN"/>
        </w:rPr>
        <w:t>编制费用</w:t>
      </w:r>
      <w:r>
        <w:rPr>
          <w:rFonts w:hint="eastAsia" w:ascii="方正仿宋_GBK" w:hAnsi="方正仿宋_GBK" w:eastAsia="方正仿宋_GBK" w:cs="方正仿宋_GBK"/>
          <w:color w:val="000000"/>
          <w:sz w:val="32"/>
          <w:szCs w:val="32"/>
        </w:rPr>
        <w:t>以</w:t>
      </w:r>
      <w:r>
        <w:rPr>
          <w:rFonts w:hint="eastAsia" w:ascii="方正仿宋_GBK" w:hAnsi="方正仿宋_GBK" w:eastAsia="方正仿宋_GBK" w:cs="方正仿宋_GBK"/>
          <w:color w:val="000000"/>
          <w:sz w:val="32"/>
          <w:szCs w:val="32"/>
          <w:lang w:val="en-US" w:eastAsia="zh-CN"/>
        </w:rPr>
        <w:t>预算审核（评审）</w:t>
      </w:r>
      <w:r>
        <w:rPr>
          <w:rFonts w:hint="eastAsia" w:ascii="方正仿宋_GBK" w:hAnsi="方正仿宋_GBK" w:eastAsia="方正仿宋_GBK" w:cs="方正仿宋_GBK"/>
          <w:color w:val="000000"/>
          <w:sz w:val="32"/>
          <w:szCs w:val="32"/>
        </w:rPr>
        <w:t>审定金额为基数</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根据重庆市巴南区发展和改革委员会、重庆市巴南区财政局《关于规范政府投资工程建设项目相关服务费的通知》（巴南发改发</w:t>
      </w:r>
      <w:r>
        <w:rPr>
          <w:rFonts w:hint="eastAsia" w:ascii="方正仿宋_GBK" w:hAnsi="方正仿宋_GBK" w:eastAsia="方正仿宋_GBK" w:cs="方正仿宋_GBK"/>
          <w:color w:val="000000"/>
          <w:sz w:val="32"/>
          <w:szCs w:val="32"/>
          <w:lang w:val="en-US" w:eastAsia="zh-CN"/>
        </w:rPr>
        <w:t>〔2023〕</w:t>
      </w:r>
      <w:r>
        <w:rPr>
          <w:rFonts w:hint="eastAsia" w:ascii="方正仿宋_GBK" w:hAnsi="方正仿宋_GBK" w:eastAsia="方正仿宋_GBK" w:cs="方正仿宋_GBK"/>
          <w:color w:val="000000"/>
          <w:sz w:val="32"/>
          <w:szCs w:val="32"/>
        </w:rPr>
        <w:t>39号）标准</w:t>
      </w:r>
      <w:r>
        <w:rPr>
          <w:rFonts w:hint="eastAsia" w:ascii="方正仿宋_GBK" w:hAnsi="方正仿宋_GBK" w:eastAsia="方正仿宋_GBK" w:cs="方正仿宋_GBK"/>
          <w:color w:val="000000"/>
          <w:sz w:val="32"/>
          <w:szCs w:val="32"/>
          <w:lang w:val="en-US" w:eastAsia="zh-CN"/>
        </w:rPr>
        <w:t>×（1-中标下浮比例）进行结</w:t>
      </w:r>
      <w:r>
        <w:rPr>
          <w:rFonts w:hint="eastAsia" w:ascii="方正仿宋_GBK" w:hAnsi="方正仿宋_GBK" w:eastAsia="方正仿宋_GBK" w:cs="方正仿宋_GBK"/>
          <w:color w:val="000000"/>
          <w:sz w:val="32"/>
          <w:szCs w:val="32"/>
        </w:rPr>
        <w:t>算（不计审减效益费）。</w:t>
      </w:r>
    </w:p>
    <w:p w14:paraId="58D7CB04">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（四）付款方式</w:t>
      </w:r>
    </w:p>
    <w:p w14:paraId="0E71FE3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提交正式成果资料后支付至合同暂定金额的50%，完成预算评审（备案）工作后按结算原则计算咨询费用，并支付剩余部分，提供有效的增值税专用发票后支付合同款。</w:t>
      </w:r>
    </w:p>
    <w:p w14:paraId="4800F3D8">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（五）其他</w:t>
      </w:r>
    </w:p>
    <w:p w14:paraId="3263D8D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1.成交比选申请人确定后，由采购人和成交单位按照相关规定和程序办理有关手续，签订合同。</w:t>
      </w:r>
    </w:p>
    <w:p w14:paraId="2E93750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2.其他未尽事宜由供需双方在采购合同中详细约定。</w:t>
      </w:r>
    </w:p>
    <w:p w14:paraId="46C5859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3.本项目不允许转包、挂靠。</w:t>
      </w:r>
    </w:p>
    <w:p w14:paraId="4648B52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4.本项目所涉及需提供的佐证材料和有关复印件，均需加盖公章。</w:t>
      </w:r>
    </w:p>
    <w:p w14:paraId="74EE4CD8">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五、资格审查及评标办法</w:t>
      </w:r>
    </w:p>
    <w:p w14:paraId="16889295">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（一）资格审查</w:t>
      </w:r>
    </w:p>
    <w:p w14:paraId="56FF1E5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符合“二、比选申请人资格要求”的所有要求。</w:t>
      </w:r>
    </w:p>
    <w:p w14:paraId="3AAE71D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（二）评审办法</w:t>
      </w:r>
    </w:p>
    <w:p w14:paraId="772780E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1、评标方法</w:t>
      </w:r>
    </w:p>
    <w:p w14:paraId="17808348">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项目采用综合评分法进行评标。</w:t>
      </w:r>
    </w:p>
    <w:p w14:paraId="713E462C">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综合评分法，是指响应文件满足</w:t>
      </w:r>
      <w:r>
        <w:rPr>
          <w:rFonts w:hint="eastAsia" w:ascii="方正仿宋_GBK" w:hAnsi="方正仿宋_GBK" w:eastAsia="方正仿宋_GBK" w:cs="方正仿宋_GBK"/>
          <w:sz w:val="32"/>
          <w:szCs w:val="32"/>
          <w:lang w:eastAsia="zh-CN"/>
        </w:rPr>
        <w:t>比选</w:t>
      </w:r>
      <w:r>
        <w:rPr>
          <w:rFonts w:hint="eastAsia" w:ascii="方正仿宋_GBK" w:hAnsi="方正仿宋_GBK" w:eastAsia="方正仿宋_GBK" w:cs="方正仿宋_GBK"/>
          <w:sz w:val="32"/>
          <w:szCs w:val="32"/>
        </w:rPr>
        <w:t>文件全部实质性要求且按照评审因素的量化指标评审得分最高的投标人为中标候选人的评标方法。投标人总得分为价格、商务、服务等评定因素分别按照相应权重值计算分项得分后相加，满分为100分。</w:t>
      </w:r>
    </w:p>
    <w:p w14:paraId="08831C13">
      <w:pPr>
        <w:pStyle w:val="6"/>
        <w:numPr>
          <w:ilvl w:val="0"/>
          <w:numId w:val="0"/>
        </w:numPr>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评审标准</w:t>
      </w:r>
    </w:p>
    <w:tbl>
      <w:tblPr>
        <w:tblStyle w:val="13"/>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830"/>
        <w:gridCol w:w="379"/>
        <w:gridCol w:w="1053"/>
        <w:gridCol w:w="5211"/>
        <w:gridCol w:w="1665"/>
      </w:tblGrid>
      <w:tr w14:paraId="160F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noWrap w:val="0"/>
            <w:vAlign w:val="center"/>
          </w:tcPr>
          <w:p w14:paraId="63DDA37A">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序号</w:t>
            </w:r>
          </w:p>
        </w:tc>
        <w:tc>
          <w:tcPr>
            <w:tcW w:w="1209" w:type="dxa"/>
            <w:gridSpan w:val="2"/>
            <w:noWrap w:val="0"/>
            <w:vAlign w:val="center"/>
          </w:tcPr>
          <w:p w14:paraId="6CEB3DAB">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评分因素及权重</w:t>
            </w:r>
          </w:p>
        </w:tc>
        <w:tc>
          <w:tcPr>
            <w:tcW w:w="1053" w:type="dxa"/>
            <w:noWrap w:val="0"/>
            <w:vAlign w:val="center"/>
          </w:tcPr>
          <w:p w14:paraId="3FC1DB89">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分值</w:t>
            </w:r>
          </w:p>
        </w:tc>
        <w:tc>
          <w:tcPr>
            <w:tcW w:w="5211" w:type="dxa"/>
            <w:noWrap w:val="0"/>
            <w:vAlign w:val="center"/>
          </w:tcPr>
          <w:p w14:paraId="6064CEBC">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评分标准</w:t>
            </w:r>
          </w:p>
        </w:tc>
        <w:tc>
          <w:tcPr>
            <w:tcW w:w="1665" w:type="dxa"/>
            <w:noWrap w:val="0"/>
            <w:vAlign w:val="center"/>
          </w:tcPr>
          <w:p w14:paraId="0CCDD80D">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说明</w:t>
            </w:r>
          </w:p>
        </w:tc>
      </w:tr>
      <w:tr w14:paraId="1853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noWrap w:val="0"/>
            <w:vAlign w:val="center"/>
          </w:tcPr>
          <w:p w14:paraId="18BBBE3E">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p>
        </w:tc>
        <w:tc>
          <w:tcPr>
            <w:tcW w:w="1209" w:type="dxa"/>
            <w:gridSpan w:val="2"/>
            <w:noWrap w:val="0"/>
            <w:vAlign w:val="center"/>
          </w:tcPr>
          <w:p w14:paraId="7C8B0838">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w:t>
            </w:r>
          </w:p>
          <w:p w14:paraId="2B8B5D1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w:t>
            </w:r>
          </w:p>
        </w:tc>
        <w:tc>
          <w:tcPr>
            <w:tcW w:w="1053" w:type="dxa"/>
            <w:noWrap w:val="0"/>
            <w:vAlign w:val="center"/>
          </w:tcPr>
          <w:p w14:paraId="7994CD2D">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0（分）</w:t>
            </w:r>
          </w:p>
        </w:tc>
        <w:tc>
          <w:tcPr>
            <w:tcW w:w="5211" w:type="dxa"/>
            <w:noWrap w:val="0"/>
            <w:vAlign w:val="center"/>
          </w:tcPr>
          <w:p w14:paraId="0D5D7B15">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有效的投标报价中的最低价（本招标文件中的报价指折扣系数）为评标基准价，按照下列公式计算每个投标人的投标价格得分。</w:t>
            </w:r>
          </w:p>
          <w:p w14:paraId="14085122">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投标报价得分＝（评标基准价/投标报价）×价格权重×100。</w:t>
            </w:r>
          </w:p>
        </w:tc>
        <w:tc>
          <w:tcPr>
            <w:tcW w:w="1665" w:type="dxa"/>
            <w:noWrap w:val="0"/>
            <w:vAlign w:val="center"/>
          </w:tcPr>
          <w:p w14:paraId="6F534B8B">
            <w:pPr>
              <w:spacing w:line="320" w:lineRule="exact"/>
              <w:rPr>
                <w:rFonts w:hint="eastAsia" w:ascii="方正仿宋_GBK" w:hAnsi="方正仿宋_GBK" w:eastAsia="方正仿宋_GBK" w:cs="方正仿宋_GBK"/>
                <w:sz w:val="32"/>
                <w:szCs w:val="32"/>
                <w:highlight w:val="none"/>
              </w:rPr>
            </w:pPr>
          </w:p>
        </w:tc>
      </w:tr>
      <w:tr w14:paraId="183A3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restart"/>
            <w:noWrap w:val="0"/>
            <w:vAlign w:val="center"/>
          </w:tcPr>
          <w:p w14:paraId="4C1AB77F">
            <w:pPr>
              <w:spacing w:line="320" w:lineRule="exact"/>
              <w:jc w:val="center"/>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2</w:t>
            </w:r>
          </w:p>
        </w:tc>
        <w:tc>
          <w:tcPr>
            <w:tcW w:w="1209" w:type="dxa"/>
            <w:gridSpan w:val="2"/>
            <w:vMerge w:val="restart"/>
            <w:noWrap w:val="0"/>
            <w:vAlign w:val="center"/>
          </w:tcPr>
          <w:p w14:paraId="1FBF3B84">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服务</w:t>
            </w:r>
            <w:r>
              <w:rPr>
                <w:rFonts w:hint="eastAsia" w:ascii="方正仿宋_GBK" w:hAnsi="方正仿宋_GBK" w:eastAsia="方正仿宋_GBK" w:cs="方正仿宋_GBK"/>
                <w:sz w:val="32"/>
                <w:szCs w:val="32"/>
                <w:highlight w:val="none"/>
              </w:rPr>
              <w:t>部分</w:t>
            </w:r>
          </w:p>
          <w:p w14:paraId="35D6567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（50%）</w:t>
            </w:r>
          </w:p>
        </w:tc>
        <w:tc>
          <w:tcPr>
            <w:tcW w:w="1053" w:type="dxa"/>
            <w:vMerge w:val="restart"/>
            <w:noWrap w:val="0"/>
            <w:vAlign w:val="center"/>
          </w:tcPr>
          <w:p w14:paraId="2065AE12">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5</w:t>
            </w:r>
            <w:r>
              <w:rPr>
                <w:rFonts w:hint="eastAsia" w:ascii="方正仿宋_GBK" w:hAnsi="方正仿宋_GBK" w:eastAsia="方正仿宋_GBK" w:cs="方正仿宋_GBK"/>
                <w:sz w:val="32"/>
                <w:szCs w:val="32"/>
                <w:highlight w:val="none"/>
              </w:rPr>
              <w:t>0（分）</w:t>
            </w:r>
          </w:p>
        </w:tc>
        <w:tc>
          <w:tcPr>
            <w:tcW w:w="5211" w:type="dxa"/>
            <w:noWrap w:val="0"/>
            <w:vAlign w:val="center"/>
          </w:tcPr>
          <w:p w14:paraId="6A5B9584">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lang w:val="zh-CN"/>
              </w:rPr>
            </w:pPr>
            <w:r>
              <w:rPr>
                <w:rFonts w:hint="eastAsia" w:ascii="方正仿宋_GBK" w:hAnsi="方正仿宋_GBK" w:eastAsia="方正仿宋_GBK" w:cs="方正仿宋_GBK"/>
                <w:b/>
                <w:bCs/>
                <w:color w:val="auto"/>
                <w:sz w:val="32"/>
                <w:szCs w:val="32"/>
                <w:lang w:val="zh-CN"/>
              </w:rPr>
              <w:t>(1)服务方案内容完整性和编制水平（10分）</w:t>
            </w:r>
          </w:p>
          <w:p w14:paraId="6456732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对采购范围内各项工作均有很完善、科学、可行的工作方案，完全符合本项目特点，重点、难点很明确。方案内容不存在瑕疵得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5750261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6B21F44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1B33DF2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04737492">
            <w:pPr>
              <w:snapToGrid w:val="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6B0E069F">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7573FC8A">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6ADA17C0">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2B4C582C">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57E9A070">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2198049A">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612A44D5">
            <w:pPr>
              <w:keepNext w:val="0"/>
              <w:keepLines w:val="0"/>
              <w:widowControl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7.现有条件下不可能实现的情形。</w:t>
            </w:r>
          </w:p>
          <w:p w14:paraId="351C58C9">
            <w:pPr>
              <w:spacing w:line="320" w:lineRule="exact"/>
              <w:rPr>
                <w:rFonts w:hint="eastAsia" w:ascii="方正仿宋_GBK" w:hAnsi="方正仿宋_GBK" w:eastAsia="方正仿宋_GBK" w:cs="方正仿宋_GBK"/>
                <w:color w:val="auto"/>
                <w:sz w:val="32"/>
                <w:szCs w:val="32"/>
                <w:highlight w:val="none"/>
              </w:rPr>
            </w:pPr>
          </w:p>
        </w:tc>
        <w:tc>
          <w:tcPr>
            <w:tcW w:w="1665" w:type="dxa"/>
            <w:vMerge w:val="restart"/>
            <w:noWrap w:val="0"/>
            <w:vAlign w:val="center"/>
          </w:tcPr>
          <w:p w14:paraId="63A1C2FE">
            <w:pPr>
              <w:numPr>
                <w:ilvl w:val="0"/>
                <w:numId w:val="1"/>
              </w:numPr>
              <w:spacing w:line="360" w:lineRule="exact"/>
              <w:ind w:firstLine="28"/>
              <w:jc w:val="left"/>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提供书面方案进行评审；</w:t>
            </w:r>
          </w:p>
          <w:p w14:paraId="660BB3A4">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en-US" w:eastAsia="zh-CN" w:bidi="ar-SA"/>
              </w:rPr>
              <w:t>本项内容中所称的“瑕疵”指方案内容缺项、内容表述不完整或缺少关键分析点，方案内容表述前后矛盾、无连贯性，内容存在逻辑漏洞、常识错误，服务措施、保障安排并不适用本项目特性或非专门针对本项目制定，方案中提出的措施不利于本项目目标的实现、现有技术条件下不可能实现的情形等任意一种情形。</w:t>
            </w:r>
          </w:p>
        </w:tc>
      </w:tr>
      <w:tr w14:paraId="1F03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6613A805">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46B00469">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0D96278F">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69FDE30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lang w:val="zh-CN"/>
              </w:rPr>
            </w:pPr>
            <w:r>
              <w:rPr>
                <w:rFonts w:hint="eastAsia" w:ascii="方正仿宋_GBK" w:hAnsi="方正仿宋_GBK" w:eastAsia="方正仿宋_GBK" w:cs="方正仿宋_GBK"/>
                <w:b/>
                <w:bCs/>
                <w:color w:val="auto"/>
                <w:sz w:val="32"/>
                <w:szCs w:val="32"/>
                <w:lang w:val="zh-CN"/>
              </w:rPr>
              <w:t>(2)工作质量控制要点及措施（10分）</w:t>
            </w:r>
          </w:p>
          <w:p w14:paraId="2B3347B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审核工作中各节点、环节均列出完整、有效的质量控制措施、完全满足采购人对审核质量及误差控制要求，并提出有效的控制、保证措施。</w:t>
            </w:r>
          </w:p>
          <w:p w14:paraId="3A29915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1845688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7DA8295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3D81802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371F282D">
            <w:pPr>
              <w:snapToGrid w:val="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14A69584">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06708BEA">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0616E69E">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2CD7C9D2">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51943DA1">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408E2E43">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11370D46">
            <w:pPr>
              <w:spacing w:line="32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20FEDB46">
            <w:pPr>
              <w:spacing w:line="320" w:lineRule="exact"/>
              <w:rPr>
                <w:rFonts w:hint="eastAsia" w:ascii="方正仿宋_GBK" w:hAnsi="方正仿宋_GBK" w:eastAsia="方正仿宋_GBK" w:cs="方正仿宋_GBK"/>
                <w:sz w:val="32"/>
                <w:szCs w:val="32"/>
                <w:highlight w:val="none"/>
              </w:rPr>
            </w:pPr>
          </w:p>
        </w:tc>
      </w:tr>
      <w:tr w14:paraId="08D7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6750981B">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016D7708">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01D10058">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0B5F76E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(3)工作程序（流程）及工作进度控制（10分）</w:t>
            </w:r>
          </w:p>
          <w:p w14:paraId="31F515C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审核工作流程很清晰、投标人内部质量及咨询成果文件流转流程完善合理、其他咨询工作沟通有效，审核及咨询时间完全满足委托人要求及临时工作安排；满足采购人提出的审核时间节点安排，并提出进度保证措施。</w:t>
            </w:r>
          </w:p>
          <w:p w14:paraId="4B00A14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10035F2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278F1E8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193AB74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353FEECC">
            <w:pPr>
              <w:snapToGrid w:val="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6E56E491">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47CC22EE">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3B569C90">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7C6C3B76">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4E724792">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1F0D3F7C">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0CF368D6">
            <w:pPr>
              <w:keepNext w:val="0"/>
              <w:keepLines w:val="0"/>
              <w:widowControl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rPr>
              <w:t>7.现有条件下不可能实现的情形。</w:t>
            </w:r>
          </w:p>
          <w:p w14:paraId="0293B19E">
            <w:pPr>
              <w:spacing w:line="320" w:lineRule="exact"/>
              <w:rPr>
                <w:rFonts w:hint="eastAsia" w:ascii="方正仿宋_GBK" w:hAnsi="方正仿宋_GBK" w:eastAsia="方正仿宋_GBK" w:cs="方正仿宋_GBK"/>
                <w:color w:val="auto"/>
                <w:sz w:val="32"/>
                <w:szCs w:val="32"/>
                <w:highlight w:val="none"/>
              </w:rPr>
            </w:pPr>
          </w:p>
        </w:tc>
        <w:tc>
          <w:tcPr>
            <w:tcW w:w="1665" w:type="dxa"/>
            <w:vMerge w:val="continue"/>
            <w:noWrap w:val="0"/>
            <w:vAlign w:val="center"/>
          </w:tcPr>
          <w:p w14:paraId="38F2029B">
            <w:pPr>
              <w:spacing w:line="320" w:lineRule="exact"/>
              <w:rPr>
                <w:rFonts w:hint="eastAsia" w:ascii="方正仿宋_GBK" w:hAnsi="方正仿宋_GBK" w:eastAsia="方正仿宋_GBK" w:cs="方正仿宋_GBK"/>
                <w:sz w:val="32"/>
                <w:szCs w:val="32"/>
                <w:highlight w:val="none"/>
              </w:rPr>
            </w:pPr>
          </w:p>
        </w:tc>
      </w:tr>
      <w:tr w14:paraId="130F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7D1F81D5">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21DB812B">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4D0B194C">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13701AC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(4)人员组织架构、分工安排（10分）</w:t>
            </w:r>
          </w:p>
          <w:p w14:paraId="1AB5BFA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项目管理机构人员配备情况：审核人员数量充足、专业结构合理、详细明确的职责分工，完全能够满足工程需要。</w:t>
            </w:r>
          </w:p>
          <w:p w14:paraId="0416ECA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459E75B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059C3BE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1E821397">
            <w:pPr>
              <w:keepNext w:val="0"/>
              <w:keepLines w:val="0"/>
              <w:pageBreakBefore w:val="0"/>
              <w:widowControl w:val="0"/>
              <w:tabs>
                <w:tab w:val="left" w:pos="420"/>
                <w:tab w:val="left" w:pos="425"/>
              </w:tabs>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6EF75BA9">
            <w:pPr>
              <w:snapToGrid w:val="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1C6BE53A">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32569460">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2CF43EF4">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198703B3">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1ABC1494">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7DB3F777">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386E11DB">
            <w:pPr>
              <w:spacing w:line="32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19DE07C8">
            <w:pPr>
              <w:spacing w:line="320" w:lineRule="exact"/>
              <w:rPr>
                <w:rFonts w:hint="eastAsia" w:ascii="方正仿宋_GBK" w:hAnsi="方正仿宋_GBK" w:eastAsia="方正仿宋_GBK" w:cs="方正仿宋_GBK"/>
                <w:sz w:val="32"/>
                <w:szCs w:val="32"/>
                <w:highlight w:val="none"/>
              </w:rPr>
            </w:pPr>
          </w:p>
        </w:tc>
      </w:tr>
      <w:tr w14:paraId="6549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65C6EFF9">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52570264">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0EFC4B9D">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69CFAB0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sz w:val="32"/>
                <w:szCs w:val="32"/>
                <w:lang w:val="zh-CN"/>
              </w:rPr>
              <w:t>(5)争议、协调的处理措施（10分）</w:t>
            </w:r>
          </w:p>
          <w:p w14:paraId="065C968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在评审过程中，如何处理与编制人、委托人的包括但不限于对计价原则、项目设置、工程量差、材料设备计价等咨询意见表述不一致的矛盾。各</w:t>
            </w:r>
            <w:r>
              <w:rPr>
                <w:rFonts w:hint="eastAsia" w:ascii="方正仿宋_GBK" w:hAnsi="方正仿宋_GBK" w:eastAsia="方正仿宋_GBK" w:cs="方正仿宋_GBK"/>
                <w:color w:val="auto"/>
                <w:sz w:val="32"/>
                <w:szCs w:val="32"/>
                <w:lang w:val="zh-CN"/>
              </w:rPr>
              <w:t>比选申请人</w:t>
            </w:r>
            <w:r>
              <w:rPr>
                <w:rFonts w:hint="eastAsia" w:ascii="方正仿宋_GBK" w:hAnsi="方正仿宋_GBK" w:eastAsia="方正仿宋_GBK" w:cs="方正仿宋_GBK"/>
                <w:color w:val="auto"/>
                <w:sz w:val="32"/>
                <w:szCs w:val="32"/>
              </w:rPr>
              <w:t>方案横向比较。</w:t>
            </w:r>
          </w:p>
          <w:p w14:paraId="31C3E70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方案内容不存在瑕疵得10分；</w:t>
            </w:r>
          </w:p>
          <w:p w14:paraId="60C1F8C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方案内容存在1处瑕疵得8分；</w:t>
            </w:r>
          </w:p>
          <w:p w14:paraId="150A482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方案内容存在2处瑕疵得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分；</w:t>
            </w:r>
          </w:p>
          <w:p w14:paraId="37543C2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方案内容存在3处瑕疵得</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分；</w:t>
            </w:r>
          </w:p>
          <w:p w14:paraId="4BD9D62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方案内容存在4处及以上瑕疵的或未提供得0分。方案所称的瑕疵是指：</w:t>
            </w:r>
          </w:p>
          <w:p w14:paraId="07756953">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2EE21A8E">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4F0B6EBB">
            <w:pPr>
              <w:snapToGrid w:val="0"/>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3CD0B60A">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66FB49E9">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559208DB">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1DC45BBA">
            <w:pPr>
              <w:spacing w:line="32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7798EF96">
            <w:pPr>
              <w:spacing w:line="320" w:lineRule="exact"/>
              <w:rPr>
                <w:rFonts w:hint="eastAsia" w:ascii="方正仿宋_GBK" w:hAnsi="方正仿宋_GBK" w:eastAsia="方正仿宋_GBK" w:cs="方正仿宋_GBK"/>
                <w:sz w:val="32"/>
                <w:szCs w:val="32"/>
                <w:highlight w:val="none"/>
              </w:rPr>
            </w:pPr>
          </w:p>
        </w:tc>
      </w:tr>
      <w:tr w14:paraId="16AC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503" w:type="dxa"/>
            <w:vMerge w:val="restart"/>
            <w:noWrap w:val="0"/>
            <w:vAlign w:val="center"/>
          </w:tcPr>
          <w:p w14:paraId="111F8772">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w:t>
            </w:r>
          </w:p>
        </w:tc>
        <w:tc>
          <w:tcPr>
            <w:tcW w:w="830" w:type="dxa"/>
            <w:vMerge w:val="restart"/>
            <w:noWrap w:val="0"/>
            <w:vAlign w:val="center"/>
          </w:tcPr>
          <w:p w14:paraId="1D21B4B5">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商务部分</w:t>
            </w:r>
          </w:p>
          <w:p w14:paraId="0091D049">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0%）</w:t>
            </w:r>
          </w:p>
        </w:tc>
        <w:tc>
          <w:tcPr>
            <w:tcW w:w="379" w:type="dxa"/>
            <w:noWrap w:val="0"/>
            <w:vAlign w:val="center"/>
          </w:tcPr>
          <w:p w14:paraId="06096AA4">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人员实力</w:t>
            </w:r>
          </w:p>
        </w:tc>
        <w:tc>
          <w:tcPr>
            <w:tcW w:w="1053" w:type="dxa"/>
            <w:noWrap w:val="0"/>
            <w:vAlign w:val="center"/>
          </w:tcPr>
          <w:p w14:paraId="6918F963">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20F559C5">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在满足资格条件基础上，</w:t>
            </w:r>
          </w:p>
          <w:p w14:paraId="57A62454">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1.项目负责人具备工程类高级工程师职称的得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w:t>
            </w:r>
          </w:p>
          <w:p w14:paraId="3313F078">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2.技术负责人具备工程类高级工程师职称的得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w:t>
            </w:r>
          </w:p>
          <w:p w14:paraId="6A981B33">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en-US" w:eastAsia="zh-CN" w:bidi="ar-SA"/>
              </w:rPr>
              <w:t>3</w:t>
            </w:r>
            <w:r>
              <w:rPr>
                <w:rFonts w:hint="eastAsia" w:ascii="方正仿宋_GBK" w:hAnsi="方正仿宋_GBK" w:eastAsia="方正仿宋_GBK" w:cs="方正仿宋_GBK"/>
                <w:color w:val="000000"/>
                <w:kern w:val="2"/>
                <w:sz w:val="32"/>
                <w:szCs w:val="32"/>
                <w:highlight w:val="none"/>
                <w:lang w:val="zh-CN" w:eastAsia="zh-CN" w:bidi="ar-SA"/>
              </w:rPr>
              <w:t>.其他人员中有一级造价师资格证书的，1个得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分，本项最多得</w:t>
            </w:r>
            <w:r>
              <w:rPr>
                <w:rFonts w:hint="eastAsia" w:ascii="方正仿宋_GBK" w:hAnsi="方正仿宋_GBK" w:eastAsia="方正仿宋_GBK" w:cs="方正仿宋_GBK"/>
                <w:color w:val="000000"/>
                <w:kern w:val="2"/>
                <w:sz w:val="32"/>
                <w:szCs w:val="32"/>
                <w:highlight w:val="none"/>
                <w:lang w:val="en-US" w:eastAsia="zh-CN" w:bidi="ar-SA"/>
              </w:rPr>
              <w:t>10</w:t>
            </w:r>
            <w:r>
              <w:rPr>
                <w:rFonts w:hint="eastAsia" w:ascii="方正仿宋_GBK" w:hAnsi="方正仿宋_GBK" w:eastAsia="方正仿宋_GBK" w:cs="方正仿宋_GBK"/>
                <w:color w:val="000000"/>
                <w:kern w:val="2"/>
                <w:sz w:val="32"/>
                <w:szCs w:val="32"/>
                <w:highlight w:val="none"/>
                <w:lang w:val="zh-CN" w:eastAsia="zh-CN" w:bidi="ar-SA"/>
              </w:rPr>
              <w:t>分。</w:t>
            </w:r>
          </w:p>
        </w:tc>
        <w:tc>
          <w:tcPr>
            <w:tcW w:w="1665" w:type="dxa"/>
            <w:noWrap w:val="0"/>
            <w:vAlign w:val="center"/>
          </w:tcPr>
          <w:p w14:paraId="7AF4F307">
            <w:pPr>
              <w:pStyle w:val="7"/>
              <w:keepNext w:val="0"/>
              <w:keepLines w:val="0"/>
              <w:pageBreakBefore w:val="0"/>
              <w:widowControl w:val="0"/>
              <w:numPr>
                <w:ilvl w:val="0"/>
                <w:numId w:val="0"/>
              </w:numPr>
              <w:kinsoku/>
              <w:wordWrap/>
              <w:overflowPunct/>
              <w:topLinePunct w:val="0"/>
              <w:autoSpaceDE/>
              <w:autoSpaceDN/>
              <w:bidi w:val="0"/>
              <w:adjustRightInd/>
              <w:snapToGrid/>
              <w:spacing w:line="320" w:lineRule="exact"/>
              <w:ind w:right="0" w:rightChars="0"/>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需提供服务本项目的人员名单及相应证书证明材料复印件并加盖比选申请人公章。</w:t>
            </w:r>
          </w:p>
          <w:p w14:paraId="3C8DBA37">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p>
        </w:tc>
      </w:tr>
      <w:tr w14:paraId="4C3D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3" w:type="dxa"/>
            <w:vMerge w:val="continue"/>
            <w:noWrap w:val="0"/>
            <w:vAlign w:val="center"/>
          </w:tcPr>
          <w:p w14:paraId="5D527057">
            <w:pPr>
              <w:spacing w:line="320" w:lineRule="exact"/>
              <w:jc w:val="center"/>
              <w:rPr>
                <w:rFonts w:hint="eastAsia" w:ascii="方正仿宋_GBK" w:hAnsi="方正仿宋_GBK" w:eastAsia="方正仿宋_GBK" w:cs="方正仿宋_GBK"/>
                <w:sz w:val="32"/>
                <w:szCs w:val="32"/>
                <w:highlight w:val="none"/>
              </w:rPr>
            </w:pPr>
          </w:p>
        </w:tc>
        <w:tc>
          <w:tcPr>
            <w:tcW w:w="830" w:type="dxa"/>
            <w:vMerge w:val="continue"/>
            <w:noWrap w:val="0"/>
            <w:vAlign w:val="center"/>
          </w:tcPr>
          <w:p w14:paraId="0D7DAB1A">
            <w:pPr>
              <w:spacing w:line="320" w:lineRule="exact"/>
              <w:jc w:val="center"/>
              <w:rPr>
                <w:rFonts w:hint="eastAsia" w:ascii="方正仿宋_GBK" w:hAnsi="方正仿宋_GBK" w:eastAsia="方正仿宋_GBK" w:cs="方正仿宋_GBK"/>
                <w:sz w:val="32"/>
                <w:szCs w:val="32"/>
                <w:highlight w:val="none"/>
              </w:rPr>
            </w:pPr>
          </w:p>
        </w:tc>
        <w:tc>
          <w:tcPr>
            <w:tcW w:w="379" w:type="dxa"/>
            <w:noWrap w:val="0"/>
            <w:vAlign w:val="center"/>
          </w:tcPr>
          <w:p w14:paraId="6194F97C">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企业业绩</w:t>
            </w:r>
          </w:p>
        </w:tc>
        <w:tc>
          <w:tcPr>
            <w:tcW w:w="1053" w:type="dxa"/>
            <w:noWrap w:val="0"/>
            <w:vAlign w:val="center"/>
          </w:tcPr>
          <w:p w14:paraId="3C923EF7">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13B9C16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b w:val="0"/>
                <w:bCs w:val="0"/>
                <w:sz w:val="32"/>
                <w:szCs w:val="32"/>
                <w:lang w:val="en-US" w:eastAsia="zh-CN" w:bidi="ar"/>
              </w:rPr>
              <w:t>比选申请人</w:t>
            </w:r>
            <w:r>
              <w:rPr>
                <w:rFonts w:hint="eastAsia" w:ascii="方正仿宋_GBK" w:hAnsi="方正仿宋_GBK" w:eastAsia="方正仿宋_GBK" w:cs="方正仿宋_GBK"/>
                <w:color w:val="000000"/>
                <w:kern w:val="2"/>
                <w:sz w:val="32"/>
                <w:szCs w:val="32"/>
                <w:highlight w:val="none"/>
                <w:lang w:val="en-US" w:eastAsia="zh-CN" w:bidi="ar-SA"/>
              </w:rPr>
              <w:t>2023</w:t>
            </w:r>
            <w:r>
              <w:rPr>
                <w:rFonts w:hint="eastAsia" w:ascii="方正仿宋_GBK" w:hAnsi="方正仿宋_GBK" w:eastAsia="方正仿宋_GBK" w:cs="方正仿宋_GBK"/>
                <w:color w:val="000000"/>
                <w:kern w:val="2"/>
                <w:sz w:val="32"/>
                <w:szCs w:val="32"/>
                <w:highlight w:val="none"/>
                <w:lang w:val="zh-CN" w:eastAsia="zh-CN" w:bidi="ar-SA"/>
              </w:rPr>
              <w:t>年1月1日至投标截止时间（以合同签订时间为准），比选申请人承接过</w:t>
            </w:r>
            <w:r>
              <w:rPr>
                <w:rFonts w:hint="eastAsia" w:ascii="方正仿宋_GBK" w:hAnsi="方正仿宋_GBK" w:eastAsia="方正仿宋_GBK" w:cs="方正仿宋_GBK"/>
                <w:color w:val="000000"/>
                <w:kern w:val="2"/>
                <w:sz w:val="32"/>
                <w:szCs w:val="32"/>
                <w:highlight w:val="none"/>
                <w:lang w:val="en-US" w:eastAsia="zh-CN" w:bidi="ar-SA"/>
              </w:rPr>
              <w:t>修缮</w:t>
            </w:r>
            <w:r>
              <w:rPr>
                <w:rFonts w:hint="eastAsia" w:ascii="方正仿宋_GBK" w:hAnsi="方正仿宋_GBK" w:eastAsia="方正仿宋_GBK" w:cs="方正仿宋_GBK"/>
                <w:color w:val="000000"/>
                <w:kern w:val="2"/>
                <w:sz w:val="32"/>
                <w:szCs w:val="32"/>
                <w:highlight w:val="none"/>
                <w:lang w:val="zh-CN" w:eastAsia="zh-CN" w:bidi="ar-SA"/>
              </w:rPr>
              <w:t>类项目</w:t>
            </w:r>
            <w:r>
              <w:rPr>
                <w:rFonts w:hint="eastAsia" w:ascii="方正仿宋_GBK" w:hAnsi="方正仿宋_GBK" w:eastAsia="方正仿宋_GBK" w:cs="方正仿宋_GBK"/>
                <w:color w:val="000000"/>
                <w:kern w:val="2"/>
                <w:sz w:val="32"/>
                <w:szCs w:val="32"/>
                <w:highlight w:val="none"/>
                <w:lang w:val="en-US" w:eastAsia="zh-CN" w:bidi="ar-SA"/>
              </w:rPr>
              <w:t>造价咨询服务</w:t>
            </w:r>
            <w:r>
              <w:rPr>
                <w:rFonts w:hint="eastAsia" w:ascii="方正仿宋_GBK" w:hAnsi="方正仿宋_GBK" w:eastAsia="方正仿宋_GBK" w:cs="方正仿宋_GBK"/>
                <w:color w:val="000000"/>
                <w:kern w:val="2"/>
                <w:sz w:val="32"/>
                <w:szCs w:val="32"/>
                <w:highlight w:val="none"/>
                <w:lang w:val="zh-CN" w:eastAsia="zh-CN" w:bidi="ar-SA"/>
              </w:rPr>
              <w:t>的，每提供有1个业绩得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分，最高得</w:t>
            </w:r>
            <w:r>
              <w:rPr>
                <w:rFonts w:hint="eastAsia" w:ascii="方正仿宋_GBK" w:hAnsi="方正仿宋_GBK" w:eastAsia="方正仿宋_GBK" w:cs="方正仿宋_GBK"/>
                <w:color w:val="000000"/>
                <w:kern w:val="2"/>
                <w:sz w:val="32"/>
                <w:szCs w:val="32"/>
                <w:highlight w:val="none"/>
                <w:lang w:val="en-US" w:eastAsia="zh-CN" w:bidi="ar-SA"/>
              </w:rPr>
              <w:t>20</w:t>
            </w:r>
            <w:r>
              <w:rPr>
                <w:rFonts w:hint="eastAsia" w:ascii="方正仿宋_GBK" w:hAnsi="方正仿宋_GBK" w:eastAsia="方正仿宋_GBK" w:cs="方正仿宋_GBK"/>
                <w:color w:val="000000"/>
                <w:kern w:val="2"/>
                <w:sz w:val="32"/>
                <w:szCs w:val="32"/>
                <w:highlight w:val="none"/>
                <w:lang w:val="zh-CN" w:eastAsia="zh-CN" w:bidi="ar-SA"/>
              </w:rPr>
              <w:t>分；</w:t>
            </w:r>
          </w:p>
          <w:p w14:paraId="470A030C">
            <w:pPr>
              <w:spacing w:line="320" w:lineRule="exact"/>
              <w:rPr>
                <w:rFonts w:hint="eastAsia" w:ascii="方正仿宋_GBK" w:hAnsi="方正仿宋_GBK" w:eastAsia="方正仿宋_GBK" w:cs="方正仿宋_GBK"/>
                <w:color w:val="000000"/>
                <w:sz w:val="32"/>
                <w:szCs w:val="32"/>
                <w:highlight w:val="none"/>
              </w:rPr>
            </w:pPr>
          </w:p>
        </w:tc>
        <w:tc>
          <w:tcPr>
            <w:tcW w:w="1665" w:type="dxa"/>
            <w:noWrap w:val="0"/>
            <w:vAlign w:val="center"/>
          </w:tcPr>
          <w:p w14:paraId="02705D4C">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zh-CN" w:eastAsia="zh-CN" w:bidi="ar-SA"/>
              </w:rPr>
              <w:t>提供业绩合同复印件并加盖比选申请人公章</w:t>
            </w:r>
          </w:p>
        </w:tc>
      </w:tr>
    </w:tbl>
    <w:p w14:paraId="05F952CE">
      <w:pPr>
        <w:adjustRightInd w:val="0"/>
        <w:snapToGrid w:val="0"/>
        <w:spacing w:line="560" w:lineRule="exact"/>
        <w:ind w:firstLine="640" w:firstLineChars="200"/>
        <w:rPr>
          <w:rFonts w:hint="eastAsia" w:ascii="方正仿宋_GBK" w:hAnsi="方正仿宋_GBK" w:eastAsia="方正仿宋_GBK" w:cs="方正仿宋_GBK"/>
          <w:sz w:val="32"/>
          <w:szCs w:val="32"/>
          <w:lang w:val="en-US" w:bidi="ar"/>
        </w:rPr>
      </w:pPr>
      <w:r>
        <w:rPr>
          <w:rFonts w:hint="eastAsia" w:ascii="方正仿宋_GBK" w:hAnsi="方正仿宋_GBK" w:eastAsia="方正仿宋_GBK" w:cs="方正仿宋_GBK"/>
          <w:sz w:val="32"/>
          <w:szCs w:val="32"/>
          <w:lang w:val="en-US" w:eastAsia="zh-CN" w:bidi="ar"/>
        </w:rPr>
        <w:t>（三）出现下列情况之一的，应当取消其参与比选申请人比选资格：</w:t>
      </w:r>
    </w:p>
    <w:p w14:paraId="50C7B90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1.不具备比选文件中规定的资格要求的；</w:t>
      </w:r>
    </w:p>
    <w:p w14:paraId="2FF625C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2.报价超过比选文件中规定的最高限价的；</w:t>
      </w:r>
    </w:p>
    <w:p w14:paraId="15437E9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3.比选申请人串通投标的；</w:t>
      </w:r>
    </w:p>
    <w:p w14:paraId="756C67A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4.法律、法规规定的其他无效情形。</w:t>
      </w:r>
    </w:p>
    <w:p w14:paraId="3D7480F8">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六、联系方式</w:t>
      </w:r>
    </w:p>
    <w:p w14:paraId="0612BC4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采购人：重庆巴洲文化旅游产业集团有限公司</w:t>
      </w:r>
    </w:p>
    <w:p w14:paraId="7E7D3C4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联系人：陈老师</w:t>
      </w:r>
    </w:p>
    <w:p w14:paraId="3614C0C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电  话：023-66238079</w:t>
      </w:r>
    </w:p>
    <w:p w14:paraId="5DB2490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地  址：重庆市巴南区龙洲大道265号</w:t>
      </w:r>
    </w:p>
    <w:p w14:paraId="1790D8A1">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七、比选申请人提交响应文件</w:t>
      </w:r>
    </w:p>
    <w:p w14:paraId="7F475A45">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（一）比选申请人提供的响应文件需装入大袋中密封并加盖公章，并在封套上写明如下内容：</w:t>
      </w:r>
    </w:p>
    <w:p w14:paraId="45D1F83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 xml:space="preserve">比选人名称：                         </w:t>
      </w:r>
    </w:p>
    <w:p w14:paraId="30D88DE2">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 xml:space="preserve">比选申请人名称：   （全称并加盖单位法人章） </w:t>
      </w:r>
    </w:p>
    <w:p w14:paraId="1C544BCC">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（项目名称）比选响应文件</w:t>
      </w:r>
    </w:p>
    <w:p w14:paraId="56E23B0F">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在2026年</w:t>
      </w:r>
      <w:r>
        <w:rPr>
          <w:rFonts w:hint="eastAsia" w:ascii="方正仿宋_GBK" w:hAnsi="方正仿宋_GBK" w:eastAsia="方正仿宋_GBK" w:cs="方正仿宋_GBK"/>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月</w:t>
      </w:r>
      <w:r>
        <w:rPr>
          <w:rFonts w:hint="eastAsia" w:ascii="方正仿宋_GBK" w:hAnsi="方正仿宋_GBK" w:eastAsia="方正仿宋_GBK" w:cs="方正仿宋_GBK"/>
          <w:kern w:val="2"/>
          <w:sz w:val="32"/>
          <w:szCs w:val="32"/>
          <w:lang w:val="en-US" w:eastAsia="zh-CN" w:bidi="ar"/>
        </w:rPr>
        <w:t>11</w:t>
      </w:r>
      <w:r>
        <w:rPr>
          <w:rFonts w:hint="eastAsia" w:ascii="方正仿宋_GBK" w:hAnsi="方正仿宋_GBK" w:eastAsia="方正仿宋_GBK" w:cs="方正仿宋_GBK"/>
          <w:color w:val="000000"/>
          <w:kern w:val="2"/>
          <w:sz w:val="32"/>
          <w:szCs w:val="32"/>
          <w:lang w:val="en-US" w:eastAsia="zh-CN" w:bidi="ar"/>
        </w:rPr>
        <w:t>日</w:t>
      </w:r>
      <w:r>
        <w:rPr>
          <w:rFonts w:hint="eastAsia" w:ascii="方正仿宋_GBK" w:hAnsi="方正仿宋_GBK" w:eastAsia="方正仿宋_GBK" w:cs="方正仿宋_GBK"/>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时</w:t>
      </w:r>
      <w:r>
        <w:rPr>
          <w:rFonts w:hint="eastAsia" w:ascii="方正仿宋_GBK" w:hAnsi="方正仿宋_GBK" w:eastAsia="方正仿宋_GBK" w:cs="方正仿宋_GBK"/>
          <w:kern w:val="2"/>
          <w:sz w:val="32"/>
          <w:szCs w:val="32"/>
          <w:lang w:val="en-US" w:eastAsia="zh-CN" w:bidi="ar"/>
        </w:rPr>
        <w:t>30</w:t>
      </w:r>
      <w:r>
        <w:rPr>
          <w:rFonts w:hint="eastAsia" w:ascii="方正仿宋_GBK" w:hAnsi="方正仿宋_GBK" w:eastAsia="方正仿宋_GBK" w:cs="方正仿宋_GBK"/>
          <w:color w:val="000000"/>
          <w:kern w:val="2"/>
          <w:sz w:val="32"/>
          <w:szCs w:val="32"/>
          <w:lang w:val="en-US" w:eastAsia="zh-CN" w:bidi="ar"/>
        </w:rPr>
        <w:t>分（开标时间）前不得开启</w:t>
      </w:r>
    </w:p>
    <w:p w14:paraId="54382D51">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（二）比选响应文件递交的时间为：比选当日现场递交。</w:t>
      </w:r>
    </w:p>
    <w:p w14:paraId="41CB9357">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（三）比选和开标地点：重庆市巴南区龙洲大道265号</w:t>
      </w:r>
    </w:p>
    <w:p w14:paraId="470BDD3F">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（四）开标时间：2026年</w:t>
      </w:r>
      <w:r>
        <w:rPr>
          <w:rFonts w:hint="eastAsia" w:ascii="方正仿宋_GBK" w:hAnsi="方正仿宋_GBK" w:eastAsia="方正仿宋_GBK" w:cs="方正仿宋_GBK"/>
          <w:kern w:val="2"/>
          <w:sz w:val="32"/>
          <w:szCs w:val="32"/>
          <w:lang w:val="en-US" w:eastAsia="zh-CN" w:bidi="ar"/>
        </w:rPr>
        <w:t>9</w:t>
      </w:r>
      <w:r>
        <w:rPr>
          <w:rFonts w:hint="eastAsia" w:ascii="Times New Roman" w:hAnsi="Times New Roman" w:eastAsia="方正楷体_GBK" w:cs="Times New Roman"/>
          <w:sz w:val="32"/>
          <w:szCs w:val="32"/>
          <w:lang w:val="en-US" w:eastAsia="zh-CN" w:bidi="ar"/>
        </w:rPr>
        <w:t>月</w:t>
      </w:r>
      <w:r>
        <w:rPr>
          <w:rFonts w:hint="eastAsia" w:ascii="方正仿宋_GBK" w:hAnsi="方正仿宋_GBK" w:eastAsia="方正仿宋_GBK" w:cs="方正仿宋_GBK"/>
          <w:kern w:val="2"/>
          <w:sz w:val="32"/>
          <w:szCs w:val="32"/>
          <w:lang w:val="en-US" w:eastAsia="zh-CN" w:bidi="ar"/>
        </w:rPr>
        <w:t>11</w:t>
      </w:r>
      <w:r>
        <w:rPr>
          <w:rFonts w:hint="eastAsia" w:ascii="Times New Roman" w:hAnsi="Times New Roman" w:eastAsia="方正楷体_GBK" w:cs="Times New Roman"/>
          <w:sz w:val="32"/>
          <w:szCs w:val="32"/>
          <w:lang w:val="en-US" w:eastAsia="zh-CN" w:bidi="ar"/>
        </w:rPr>
        <w:t>日</w:t>
      </w:r>
      <w:r>
        <w:rPr>
          <w:rFonts w:hint="eastAsia" w:ascii="方正仿宋_GBK" w:hAnsi="方正仿宋_GBK" w:eastAsia="方正仿宋_GBK" w:cs="方正仿宋_GBK"/>
          <w:kern w:val="2"/>
          <w:sz w:val="32"/>
          <w:szCs w:val="32"/>
          <w:lang w:val="en-US" w:eastAsia="zh-CN" w:bidi="ar"/>
        </w:rPr>
        <w:t>9</w:t>
      </w:r>
      <w:r>
        <w:rPr>
          <w:rFonts w:hint="eastAsia" w:ascii="Times New Roman" w:hAnsi="Times New Roman" w:eastAsia="方正楷体_GBK" w:cs="Times New Roman"/>
          <w:sz w:val="32"/>
          <w:szCs w:val="32"/>
          <w:lang w:val="en-US" w:eastAsia="zh-CN" w:bidi="ar"/>
        </w:rPr>
        <w:t>时</w:t>
      </w:r>
      <w:r>
        <w:rPr>
          <w:rFonts w:hint="eastAsia" w:ascii="方正仿宋_GBK" w:hAnsi="方正仿宋_GBK" w:eastAsia="方正仿宋_GBK" w:cs="方正仿宋_GBK"/>
          <w:kern w:val="2"/>
          <w:sz w:val="32"/>
          <w:szCs w:val="32"/>
          <w:lang w:val="en-US" w:eastAsia="zh-CN" w:bidi="ar"/>
        </w:rPr>
        <w:t>30</w:t>
      </w:r>
      <w:r>
        <w:rPr>
          <w:rFonts w:hint="eastAsia" w:ascii="Times New Roman" w:hAnsi="Times New Roman" w:eastAsia="方正楷体_GBK" w:cs="Times New Roman"/>
          <w:sz w:val="32"/>
          <w:szCs w:val="32"/>
          <w:lang w:val="en-US" w:eastAsia="zh-CN" w:bidi="ar"/>
        </w:rPr>
        <w:t>分（北京时间）</w:t>
      </w:r>
    </w:p>
    <w:p w14:paraId="19259FD0">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（五）逾期送达或者不按照比选文件要求密封的申请文件，应当拒收。</w:t>
      </w:r>
    </w:p>
    <w:p w14:paraId="4CCE0F15">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eastAsia="zh-CN" w:bidi="ar"/>
        </w:rPr>
        <w:t>八、比选程序</w:t>
      </w:r>
    </w:p>
    <w:p w14:paraId="2A5909FE">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（一）评审人员和监督人员签到。</w:t>
      </w:r>
    </w:p>
    <w:p w14:paraId="151010C5">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（二）现场收取投标文件（密封袋形式）。</w:t>
      </w:r>
    </w:p>
    <w:p w14:paraId="1FFAE947">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（三）比选申请人法定代表人或授权人签到。</w:t>
      </w:r>
    </w:p>
    <w:p w14:paraId="55A9F519">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（四）对投标文件密封情况进行检查。</w:t>
      </w:r>
    </w:p>
    <w:p w14:paraId="737C6B0B">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（五）对比选申请人法定代表人或授权人进行身份确认（核验身份证原件和代理人授权委托书、养老保险证明材料原件），若经核实上述材料与实际不符的，不得参与比选。</w:t>
      </w:r>
    </w:p>
    <w:p w14:paraId="3F9A83FF">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（六）比选申请人确认报价并签字。</w:t>
      </w:r>
    </w:p>
    <w:p w14:paraId="3F6CEB4A">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（七）对比选申请人提供的比选文件进行资格审查和符合性审查。</w:t>
      </w:r>
    </w:p>
    <w:p w14:paraId="46D4EF5B">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（八）报告评审结果。</w:t>
      </w:r>
    </w:p>
    <w:p w14:paraId="7B0BB7B3">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（九）评审结束。</w:t>
      </w:r>
    </w:p>
    <w:p w14:paraId="6D33684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注：在不违背相关法律法规规定的情况下，项目单位可根据项目实际情况对比选文件范本进行适当调整。</w:t>
      </w:r>
    </w:p>
    <w:p w14:paraId="3A89B21E">
      <w:pPr>
        <w:keepNext w:val="0"/>
        <w:keepLines w:val="0"/>
        <w:widowControl w:val="0"/>
        <w:suppressLineNumbers w:val="0"/>
        <w:spacing w:before="0" w:beforeAutospacing="0" w:after="0" w:afterAutospacing="0" w:line="560" w:lineRule="exact"/>
        <w:ind w:left="0" w:right="0"/>
        <w:jc w:val="left"/>
        <w:rPr>
          <w:rFonts w:hint="eastAsia"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kern w:val="2"/>
          <w:sz w:val="32"/>
          <w:szCs w:val="32"/>
          <w:lang w:val="en-US" w:eastAsia="zh-CN" w:bidi="ar"/>
        </w:rPr>
        <w:br w:type="page"/>
      </w:r>
      <w:r>
        <w:rPr>
          <w:rFonts w:hint="eastAsia" w:ascii="方正仿宋_GBK" w:hAnsi="方正仿宋_GBK" w:eastAsia="方正仿宋_GBK" w:cs="方正仿宋_GBK"/>
          <w:color w:val="000000"/>
          <w:kern w:val="2"/>
          <w:sz w:val="32"/>
          <w:szCs w:val="32"/>
          <w:lang w:val="en-US" w:eastAsia="zh-CN" w:bidi="ar"/>
        </w:rPr>
        <w:t>附件</w:t>
      </w:r>
      <w:r>
        <w:rPr>
          <w:rFonts w:hint="eastAsia" w:ascii="方正仿宋_GBK" w:hAnsi="方正仿宋_GBK" w:eastAsia="方正仿宋_GBK" w:cs="方正仿宋_GBK"/>
          <w:color w:val="000000"/>
          <w:kern w:val="2"/>
          <w:sz w:val="28"/>
          <w:szCs w:val="28"/>
          <w:lang w:val="en-US" w:eastAsia="zh-CN" w:bidi="ar"/>
        </w:rPr>
        <w:t xml:space="preserve">                    </w:t>
      </w:r>
    </w:p>
    <w:p w14:paraId="49ADBA40">
      <w:pPr>
        <w:keepNext w:val="0"/>
        <w:keepLines w:val="0"/>
        <w:widowControl w:val="0"/>
        <w:suppressLineNumbers w:val="0"/>
        <w:spacing w:before="0" w:beforeAutospacing="0" w:after="0" w:afterAutospacing="0" w:line="560" w:lineRule="exact"/>
        <w:ind w:left="0" w:right="0"/>
        <w:jc w:val="center"/>
        <w:rPr>
          <w:rFonts w:hint="eastAsia" w:ascii="方正仿宋_GBK" w:hAnsi="方正仿宋_GBK" w:eastAsia="方正仿宋_GBK" w:cs="方正仿宋_GBK"/>
          <w:b w:val="0"/>
          <w:bCs/>
          <w:color w:val="000000"/>
          <w:kern w:val="2"/>
          <w:sz w:val="44"/>
          <w:szCs w:val="44"/>
          <w:lang w:val="en-US" w:eastAsia="zh-CN" w:bidi="ar"/>
        </w:rPr>
      </w:pPr>
    </w:p>
    <w:p w14:paraId="6E2396BE">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响应文件（格式）</w:t>
      </w:r>
    </w:p>
    <w:p w14:paraId="2F0D59A6">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kern w:val="2"/>
          <w:sz w:val="28"/>
          <w:szCs w:val="28"/>
          <w:lang w:val="en-US" w:eastAsia="zh-CN" w:bidi="ar"/>
        </w:rPr>
      </w:pPr>
    </w:p>
    <w:p w14:paraId="04684FA1">
      <w:pPr>
        <w:keepNext w:val="0"/>
        <w:keepLines w:val="0"/>
        <w:widowControl w:val="0"/>
        <w:suppressLineNumbers w:val="0"/>
        <w:spacing w:before="0" w:beforeAutospacing="0" w:after="0" w:afterAutospacing="0"/>
        <w:ind w:left="0" w:right="0" w:firstLine="640" w:firstLineChars="200"/>
        <w:jc w:val="both"/>
        <w:rPr>
          <w:rFonts w:hint="eastAsia" w:ascii="方正仿宋_GBK" w:hAnsi="方正仿宋_GBK" w:eastAsia="方正仿宋_GBK" w:cs="方正仿宋_GBK"/>
          <w:bCs/>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r>
        <w:rPr>
          <w:rFonts w:hint="eastAsia" w:ascii="方正仿宋_GBK" w:hAnsi="方正仿宋_GBK" w:eastAsia="方正仿宋_GBK" w:cs="方正仿宋_GBK"/>
          <w:bCs/>
          <w:color w:val="000000"/>
          <w:kern w:val="2"/>
          <w:sz w:val="32"/>
          <w:szCs w:val="32"/>
          <w:lang w:val="en-US" w:eastAsia="zh-CN" w:bidi="ar"/>
        </w:rPr>
        <w:t xml:space="preserve"> </w:t>
      </w:r>
    </w:p>
    <w:p w14:paraId="26864AB3">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44A70365">
      <w:pPr>
        <w:pStyle w:val="4"/>
        <w:rPr>
          <w:rFonts w:hint="eastAsia" w:ascii="方正仿宋_GBK" w:hAnsi="方正仿宋_GBK" w:eastAsia="方正仿宋_GBK" w:cs="方正仿宋_GBK"/>
          <w:color w:val="000000"/>
          <w:kern w:val="0"/>
          <w:sz w:val="28"/>
          <w:szCs w:val="28"/>
          <w:lang w:val="en-US"/>
        </w:rPr>
      </w:pPr>
    </w:p>
    <w:p w14:paraId="5F2DE6A1">
      <w:pPr>
        <w:rPr>
          <w:rFonts w:hint="eastAsia" w:ascii="方正仿宋_GBK" w:hAnsi="方正仿宋_GBK" w:eastAsia="方正仿宋_GBK" w:cs="方正仿宋_GBK"/>
          <w:color w:val="000000"/>
          <w:lang w:val="en-US"/>
        </w:rPr>
      </w:pPr>
    </w:p>
    <w:p w14:paraId="6E911252">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44"/>
          <w:szCs w:val="44"/>
          <w:lang w:val="en-US"/>
        </w:rPr>
      </w:pPr>
    </w:p>
    <w:p w14:paraId="0A38A161">
      <w:pPr>
        <w:spacing w:line="560" w:lineRule="exact"/>
        <w:jc w:val="center"/>
        <w:rPr>
          <w:rFonts w:hint="eastAsia" w:ascii="Times New Roman" w:hAnsi="Times New Roman" w:eastAsia="方正小标宋_GBK"/>
          <w:bCs/>
          <w:sz w:val="44"/>
          <w:szCs w:val="44"/>
          <w:lang w:val="en-US" w:eastAsia="zh-CN" w:bidi="ar"/>
        </w:rPr>
      </w:pPr>
      <w:r>
        <w:rPr>
          <w:rFonts w:hint="eastAsia" w:ascii="Times New Roman" w:hAnsi="Times New Roman" w:eastAsia="方正小标宋_GBK"/>
          <w:bCs/>
          <w:sz w:val="44"/>
          <w:szCs w:val="44"/>
          <w:lang w:val="en-US" w:eastAsia="zh-CN" w:bidi="ar"/>
        </w:rPr>
        <w:t>响 应 文 件</w:t>
      </w:r>
    </w:p>
    <w:p w14:paraId="66CEB86D">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0C1AF63A">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b/>
          <w:bCs w:val="0"/>
          <w:color w:val="000000"/>
          <w:kern w:val="0"/>
          <w:sz w:val="28"/>
          <w:szCs w:val="28"/>
          <w:lang w:val="en-US"/>
        </w:rPr>
      </w:pPr>
      <w:r>
        <w:rPr>
          <w:rFonts w:hint="eastAsia" w:ascii="方正仿宋_GBK" w:hAnsi="方正仿宋_GBK" w:eastAsia="方正仿宋_GBK" w:cs="方正仿宋_GBK"/>
          <w:color w:val="000000"/>
          <w:kern w:val="0"/>
          <w:sz w:val="28"/>
          <w:szCs w:val="28"/>
          <w:lang w:val="en-US" w:eastAsia="zh-CN" w:bidi="ar"/>
        </w:rPr>
        <w:t xml:space="preserve"> </w:t>
      </w:r>
      <w:r>
        <w:rPr>
          <w:rFonts w:hint="eastAsia" w:ascii="方正仿宋_GBK" w:hAnsi="方正仿宋_GBK" w:eastAsia="方正仿宋_GBK" w:cs="方正仿宋_GBK"/>
          <w:b/>
          <w:bCs w:val="0"/>
          <w:color w:val="000000"/>
          <w:kern w:val="0"/>
          <w:sz w:val="28"/>
          <w:szCs w:val="28"/>
          <w:lang w:val="en-US" w:eastAsia="zh-CN" w:bidi="ar"/>
        </w:rPr>
        <w:t xml:space="preserve"> </w:t>
      </w:r>
    </w:p>
    <w:p w14:paraId="739DAC0B">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761A501A">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color w:val="000000"/>
          <w:kern w:val="0"/>
          <w:sz w:val="28"/>
          <w:szCs w:val="28"/>
          <w:lang w:val="en-US"/>
        </w:rPr>
      </w:pPr>
    </w:p>
    <w:p w14:paraId="2A26CFC3">
      <w:pPr>
        <w:keepNext w:val="0"/>
        <w:keepLines w:val="0"/>
        <w:widowControl w:val="0"/>
        <w:suppressLineNumbers w:val="0"/>
        <w:spacing w:before="0" w:beforeAutospacing="0" w:after="0" w:afterAutospacing="0" w:line="360" w:lineRule="auto"/>
        <w:ind w:left="0" w:right="-334" w:rightChars="-159"/>
        <w:jc w:val="both"/>
        <w:rPr>
          <w:rFonts w:hint="eastAsia" w:ascii="方正仿宋_GBK" w:hAnsi="方正仿宋_GBK" w:eastAsia="方正仿宋_GBK" w:cs="方正仿宋_GBK"/>
          <w:b/>
          <w:color w:val="000000"/>
          <w:sz w:val="28"/>
          <w:szCs w:val="28"/>
          <w:lang w:val="en-US"/>
        </w:rPr>
      </w:pPr>
    </w:p>
    <w:p w14:paraId="4CFE0C8F">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sz w:val="32"/>
          <w:szCs w:val="32"/>
          <w:lang w:val="en-US"/>
        </w:rPr>
      </w:pPr>
      <w:r>
        <w:rPr>
          <w:rFonts w:hint="eastAsia" w:ascii="仿宋" w:hAnsi="仿宋" w:eastAsia="仿宋" w:cs="仿宋"/>
          <w:b w:val="0"/>
          <w:bCs/>
          <w:color w:val="000000"/>
          <w:kern w:val="2"/>
          <w:sz w:val="32"/>
          <w:szCs w:val="32"/>
          <w:lang w:val="en-US" w:eastAsia="zh-CN" w:bidi="ar"/>
        </w:rPr>
        <w:t>比选申请人</w:t>
      </w:r>
      <w:r>
        <w:rPr>
          <w:rFonts w:hint="eastAsia" w:ascii="方正仿宋_GBK" w:hAnsi="方正仿宋_GBK" w:eastAsia="方正仿宋_GBK" w:cs="方正仿宋_GBK"/>
          <w:b w:val="0"/>
          <w:bCs/>
          <w:color w:val="000000"/>
          <w:kern w:val="2"/>
          <w:sz w:val="32"/>
          <w:szCs w:val="32"/>
          <w:lang w:val="en-US" w:eastAsia="zh-CN" w:bidi="ar"/>
        </w:rPr>
        <w:t>：</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（盖单位公章）</w:t>
      </w:r>
    </w:p>
    <w:p w14:paraId="01E8B4F8">
      <w:pPr>
        <w:keepNext w:val="0"/>
        <w:keepLines w:val="0"/>
        <w:widowControl w:val="0"/>
        <w:suppressLineNumbers w:val="0"/>
        <w:spacing w:before="0" w:beforeAutospacing="0" w:after="0" w:afterAutospacing="0" w:line="360" w:lineRule="auto"/>
        <w:ind w:left="-283" w:leftChars="-135" w:right="-334" w:rightChars="-159" w:firstLine="1928" w:firstLineChars="686"/>
        <w:jc w:val="both"/>
        <w:rPr>
          <w:rFonts w:hint="eastAsia" w:ascii="方正仿宋_GBK" w:hAnsi="方正仿宋_GBK" w:eastAsia="方正仿宋_GBK" w:cs="方正仿宋_GBK"/>
          <w:b/>
          <w:color w:val="000000"/>
          <w:sz w:val="28"/>
          <w:szCs w:val="28"/>
          <w:lang w:val="en-US"/>
        </w:rPr>
      </w:pPr>
    </w:p>
    <w:p w14:paraId="51C91E91">
      <w:pPr>
        <w:keepNext w:val="0"/>
        <w:keepLines w:val="0"/>
        <w:widowControl w:val="0"/>
        <w:suppressLineNumbers w:val="0"/>
        <w:spacing w:before="0" w:beforeAutospacing="0" w:after="0" w:afterAutospacing="0" w:line="360" w:lineRule="auto"/>
        <w:ind w:left="-283" w:leftChars="-135" w:right="-334" w:rightChars="-159" w:firstLine="495" w:firstLineChars="176"/>
        <w:jc w:val="center"/>
        <w:rPr>
          <w:rFonts w:hint="eastAsia" w:ascii="方正仿宋_GBK" w:hAnsi="方正仿宋_GBK" w:eastAsia="方正仿宋_GBK" w:cs="方正仿宋_GBK"/>
          <w:b/>
          <w:color w:val="000000"/>
          <w:sz w:val="28"/>
          <w:szCs w:val="28"/>
          <w:lang w:val="en-US"/>
        </w:rPr>
      </w:pPr>
    </w:p>
    <w:p w14:paraId="2BF87D57">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kern w:val="2"/>
          <w:sz w:val="32"/>
          <w:szCs w:val="32"/>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 xml:space="preserve"> 年    月    日</w:t>
      </w:r>
    </w:p>
    <w:p w14:paraId="78D7167C">
      <w:pPr>
        <w:spacing w:line="360" w:lineRule="auto"/>
        <w:rPr>
          <w:rFonts w:hint="eastAsia" w:ascii="方正仿宋_GBK" w:hAnsi="方正仿宋_GBK" w:eastAsia="方正仿宋_GBK" w:cs="方正仿宋_GBK"/>
          <w:b/>
          <w:bCs w:val="0"/>
          <w:color w:val="000000"/>
          <w:kern w:val="2"/>
          <w:sz w:val="28"/>
          <w:szCs w:val="28"/>
          <w:lang w:val="en-US" w:eastAsia="zh-CN" w:bidi="ar"/>
        </w:rPr>
        <w:sectPr>
          <w:pgSz w:w="11906" w:h="16838"/>
          <w:pgMar w:top="1871" w:right="1474" w:bottom="1871" w:left="1644" w:header="851" w:footer="992" w:gutter="0"/>
          <w:pgNumType w:fmt="decimal"/>
          <w:cols w:space="720" w:num="1"/>
          <w:docGrid w:type="lines" w:linePitch="312" w:charSpace="0"/>
        </w:sectPr>
      </w:pPr>
    </w:p>
    <w:p w14:paraId="4FD4AFDB">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目  录</w:t>
      </w:r>
    </w:p>
    <w:p w14:paraId="55FB94CF">
      <w:pPr>
        <w:keepNext w:val="0"/>
        <w:keepLines w:val="0"/>
        <w:widowControl w:val="0"/>
        <w:suppressLineNumbers w:val="0"/>
        <w:spacing w:before="0" w:beforeAutospacing="0" w:after="0" w:afterAutospacing="0" w:line="600" w:lineRule="exact"/>
        <w:ind w:left="0" w:right="0"/>
        <w:jc w:val="both"/>
        <w:rPr>
          <w:rFonts w:hint="eastAsia" w:ascii="方正仿宋_GBK" w:hAnsi="方正仿宋_GBK" w:eastAsia="方正仿宋_GBK" w:cs="方正仿宋_GBK"/>
          <w:b w:val="0"/>
          <w:bCs/>
          <w:color w:val="000000"/>
          <w:kern w:val="2"/>
          <w:sz w:val="32"/>
          <w:szCs w:val="32"/>
          <w:lang w:val="en-US" w:eastAsia="zh-CN" w:bidi="ar"/>
        </w:rPr>
      </w:pPr>
    </w:p>
    <w:p w14:paraId="1C55D2AA">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一、法定代表人授权委托书（格式）</w:t>
      </w:r>
    </w:p>
    <w:p w14:paraId="5A32B6E9">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二、报价函</w:t>
      </w:r>
    </w:p>
    <w:p w14:paraId="5F3B5BFB">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三、资格文件</w:t>
      </w:r>
    </w:p>
    <w:p w14:paraId="0D904437">
      <w:pPr>
        <w:keepNext w:val="0"/>
        <w:keepLines w:val="0"/>
        <w:widowControl w:val="0"/>
        <w:suppressLineNumbers w:val="0"/>
        <w:tabs>
          <w:tab w:val="left" w:pos="2760"/>
        </w:tabs>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四、诚信承诺书</w:t>
      </w:r>
    </w:p>
    <w:p w14:paraId="4ECECD8E">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五、比选文件规定的其他资料</w:t>
      </w:r>
    </w:p>
    <w:p w14:paraId="2849A79D">
      <w:pPr>
        <w:keepNext w:val="0"/>
        <w:keepLines w:val="0"/>
        <w:widowControl w:val="0"/>
        <w:suppressLineNumbers w:val="0"/>
        <w:spacing w:before="0" w:beforeAutospacing="0" w:after="0" w:afterAutospacing="0" w:line="600" w:lineRule="exact"/>
        <w:ind w:left="0" w:right="0"/>
        <w:jc w:val="center"/>
        <w:rPr>
          <w:rFonts w:hint="eastAsia" w:ascii="方正仿宋_GBK" w:hAnsi="方正仿宋_GBK" w:eastAsia="方正仿宋_GBK" w:cs="方正仿宋_GBK"/>
          <w:b/>
          <w:bCs w:val="0"/>
          <w:color w:val="000000"/>
          <w:sz w:val="28"/>
          <w:szCs w:val="28"/>
          <w:lang w:val="en-US"/>
        </w:rPr>
      </w:pPr>
    </w:p>
    <w:p w14:paraId="2D56EB67">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1C3DCBB5">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7EC33CA1">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DE85AD5">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3315BE8">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2621D3C2">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5225D81C">
      <w:pPr>
        <w:keepNext w:val="0"/>
        <w:keepLines w:val="0"/>
        <w:widowControl w:val="0"/>
        <w:suppressLineNumbers w:val="0"/>
        <w:spacing w:before="0" w:beforeAutospacing="0" w:after="0" w:afterAutospacing="0" w:line="360" w:lineRule="auto"/>
        <w:ind w:left="0" w:right="0"/>
        <w:jc w:val="both"/>
        <w:rPr>
          <w:rFonts w:hint="eastAsia" w:ascii="方正仿宋_GBK" w:hAnsi="方正仿宋_GBK" w:eastAsia="方正仿宋_GBK" w:cs="方正仿宋_GBK"/>
          <w:b/>
          <w:bCs w:val="0"/>
          <w:color w:val="000000"/>
          <w:sz w:val="28"/>
          <w:szCs w:val="28"/>
          <w:lang w:val="en-US"/>
        </w:rPr>
      </w:pPr>
    </w:p>
    <w:p w14:paraId="4865872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0"/>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bCs w:val="0"/>
          <w:color w:val="000000"/>
          <w:kern w:val="2"/>
          <w:sz w:val="28"/>
          <w:szCs w:val="28"/>
          <w:lang w:val="en-US" w:eastAsia="zh-CN" w:bidi="ar"/>
        </w:rPr>
        <w:br w:type="page"/>
      </w:r>
      <w:r>
        <w:rPr>
          <w:rFonts w:hint="eastAsia" w:ascii="Times New Roman" w:hAnsi="Times New Roman" w:eastAsia="方正黑体_GBK"/>
          <w:bCs/>
          <w:sz w:val="32"/>
          <w:szCs w:val="32"/>
          <w:lang w:val="en-US" w:eastAsia="zh-CN" w:bidi="ar"/>
        </w:rPr>
        <w:t>一、法定代表人（负责人）授权委托书（格式）</w:t>
      </w:r>
    </w:p>
    <w:p w14:paraId="4207CCD5">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0F84A0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法定代表人（负责人）授权委托书</w:t>
      </w:r>
    </w:p>
    <w:p w14:paraId="618B4CC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致：（比选人名称）：</w:t>
      </w:r>
    </w:p>
    <w:p w14:paraId="02674BC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（法定代表人/负责人名称）是（比选</w:t>
      </w:r>
      <w:r>
        <w:rPr>
          <w:rFonts w:hint="eastAsia" w:ascii="仿宋" w:hAnsi="仿宋" w:eastAsia="仿宋" w:cs="仿宋"/>
          <w:b w:val="0"/>
          <w:bCs/>
          <w:color w:val="000000"/>
          <w:kern w:val="2"/>
          <w:sz w:val="32"/>
          <w:szCs w:val="32"/>
          <w:lang w:val="en-US" w:eastAsia="zh-CN" w:bidi="ar"/>
        </w:rPr>
        <w:t>申请人</w:t>
      </w:r>
      <w:r>
        <w:rPr>
          <w:rFonts w:hint="eastAsia" w:ascii="方正仿宋_GBK" w:hAnsi="方正仿宋_GBK" w:eastAsia="方正仿宋_GBK" w:cs="方正仿宋_GBK"/>
          <w:b w:val="0"/>
          <w:bCs/>
          <w:color w:val="000000"/>
          <w:kern w:val="2"/>
          <w:sz w:val="32"/>
          <w:szCs w:val="32"/>
          <w:lang w:val="en-US" w:eastAsia="zh-CN" w:bidi="ar"/>
        </w:rPr>
        <w:t>名称）的法定代表人/负责人，特授权（被授权人姓名及身份证代码）电话代表我单位全权办理上述项目的比选、签约等具体工作，并签署全部有关文件、协议及合同。</w:t>
      </w:r>
    </w:p>
    <w:p w14:paraId="7CEFD7F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我单位对被授权人的签字负全部责任。</w:t>
      </w:r>
    </w:p>
    <w:p w14:paraId="488322A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在撤销授权的书面通知以前，本授权书一直有效。被授权人在授权书有效期内签署的所有文件不因授权的撤销而失效。</w:t>
      </w:r>
    </w:p>
    <w:p w14:paraId="4C91CD2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85A2B4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A358A2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被授权人：                    法定代表人/负责人：</w:t>
      </w:r>
    </w:p>
    <w:p w14:paraId="13373D2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（签字或盖章）                  （签字或盖章）</w:t>
      </w:r>
    </w:p>
    <w:p w14:paraId="05FEDFE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5A168D9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3A80D1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（附：被授权人身份证正反面复印件）</w:t>
      </w:r>
    </w:p>
    <w:p w14:paraId="1C9BD35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AD0398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0A818D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w:t>
      </w:r>
      <w:r>
        <w:rPr>
          <w:rFonts w:hint="eastAsia" w:ascii="仿宋" w:hAnsi="仿宋" w:eastAsia="仿宋" w:cs="仿宋"/>
          <w:b w:val="0"/>
          <w:bCs/>
          <w:color w:val="000000"/>
          <w:kern w:val="2"/>
          <w:sz w:val="32"/>
          <w:szCs w:val="32"/>
          <w:lang w:val="en-US" w:eastAsia="zh-CN" w:bidi="ar"/>
        </w:rPr>
        <w:t>比选申请人公章</w:t>
      </w:r>
      <w:r>
        <w:rPr>
          <w:rFonts w:hint="eastAsia" w:ascii="方正仿宋_GBK" w:hAnsi="方正仿宋_GBK" w:eastAsia="方正仿宋_GBK" w:cs="方正仿宋_GBK"/>
          <w:b w:val="0"/>
          <w:bCs/>
          <w:color w:val="000000"/>
          <w:kern w:val="2"/>
          <w:sz w:val="32"/>
          <w:szCs w:val="32"/>
          <w:lang w:val="en-US" w:eastAsia="zh-CN" w:bidi="ar"/>
        </w:rPr>
        <w:t>）</w:t>
      </w:r>
    </w:p>
    <w:p w14:paraId="311DCBE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584079F6">
      <w:pPr>
        <w:pStyle w:val="12"/>
        <w:widowControl/>
        <w:ind w:left="0" w:firstLine="0"/>
        <w:rPr>
          <w:rFonts w:hint="eastAsia" w:ascii="方正仿宋_GBK" w:hAnsi="方正仿宋_GBK" w:eastAsia="方正仿宋_GBK" w:cs="方正仿宋_GBK"/>
          <w:color w:val="000000"/>
          <w:sz w:val="24"/>
          <w:szCs w:val="22"/>
          <w:lang w:val="en-US"/>
        </w:rPr>
      </w:pPr>
    </w:p>
    <w:p w14:paraId="6D60A84E">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二、报价函</w:t>
      </w:r>
    </w:p>
    <w:p w14:paraId="010F9F2B">
      <w:pPr>
        <w:tabs>
          <w:tab w:val="left" w:pos="6300"/>
        </w:tabs>
        <w:snapToGrid w:val="0"/>
        <w:spacing w:line="560" w:lineRule="exact"/>
        <w:jc w:val="center"/>
        <w:outlineLvl w:val="0"/>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报价函</w:t>
      </w:r>
    </w:p>
    <w:p w14:paraId="1942B3FD">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u w:val="single"/>
          <w:lang w:val="en-US" w:eastAsia="zh-CN" w:bidi="ar"/>
        </w:rPr>
        <w:t>（比选人单位名称）</w:t>
      </w:r>
      <w:r>
        <w:rPr>
          <w:rFonts w:hint="eastAsia" w:ascii="方正仿宋_GBK" w:hAnsi="方正仿宋_GBK" w:eastAsia="方正仿宋_GBK" w:cs="方正仿宋_GBK"/>
          <w:b w:val="0"/>
          <w:bCs/>
          <w:color w:val="000000"/>
          <w:kern w:val="2"/>
          <w:sz w:val="32"/>
          <w:szCs w:val="32"/>
          <w:lang w:val="en-US" w:eastAsia="zh-CN" w:bidi="ar"/>
        </w:rPr>
        <w:t>：</w:t>
      </w:r>
    </w:p>
    <w:p w14:paraId="4EED049A">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我方收到</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（项目名称）的比选文件，经详细研究，决定参加该项目的比选。</w:t>
      </w:r>
    </w:p>
    <w:p w14:paraId="20AFD546">
      <w:pPr>
        <w:keepNext w:val="0"/>
        <w:keepLines w:val="0"/>
        <w:pageBreakBefore w:val="0"/>
        <w:widowControl w:val="0"/>
        <w:numPr>
          <w:ilvl w:val="0"/>
          <w:numId w:val="0"/>
        </w:numPr>
        <w:suppressLineNumbers w:val="0"/>
        <w:tabs>
          <w:tab w:val="left" w:pos="4820"/>
          <w:tab w:val="left" w:pos="6300"/>
        </w:tabs>
        <w:wordWrap/>
        <w:topLinePunct w:val="0"/>
        <w:bidi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b w:val="0"/>
          <w:bCs/>
          <w:color w:val="000000"/>
          <w:kern w:val="2"/>
          <w:sz w:val="32"/>
          <w:szCs w:val="32"/>
          <w:u w:val="none"/>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1.愿意按照比选采购文件中的要求，提供本项目的服务，报价为下浮率为</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u w:val="none"/>
          <w:lang w:val="en-US" w:eastAsia="zh-CN" w:bidi="ar"/>
        </w:rPr>
        <w:t>。</w:t>
      </w:r>
    </w:p>
    <w:p w14:paraId="256547FD">
      <w:pPr>
        <w:keepNext w:val="0"/>
        <w:keepLines w:val="0"/>
        <w:pageBreakBefore w:val="0"/>
        <w:widowControl w:val="0"/>
        <w:suppressLineNumbers w:val="0"/>
        <w:tabs>
          <w:tab w:val="left" w:pos="4820"/>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2.我方现提交的响应文件为：响应文件纸质档</w:t>
      </w:r>
      <w:r>
        <w:rPr>
          <w:rFonts w:hint="eastAsia" w:ascii="方正仿宋_GBK" w:hAnsi="方正仿宋_GBK" w:eastAsia="方正仿宋_GBK" w:cs="方正仿宋_GBK"/>
          <w:b w:val="0"/>
          <w:bCs/>
          <w:color w:val="000000"/>
          <w:kern w:val="2"/>
          <w:sz w:val="32"/>
          <w:szCs w:val="32"/>
          <w:u w:val="single"/>
          <w:lang w:val="en-US" w:eastAsia="zh-CN" w:bidi="ar"/>
        </w:rPr>
        <w:t xml:space="preserve"> 1 </w:t>
      </w:r>
      <w:r>
        <w:rPr>
          <w:rFonts w:hint="eastAsia" w:ascii="方正仿宋_GBK" w:hAnsi="方正仿宋_GBK" w:eastAsia="方正仿宋_GBK" w:cs="方正仿宋_GBK"/>
          <w:b w:val="0"/>
          <w:bCs/>
          <w:color w:val="000000"/>
          <w:kern w:val="2"/>
          <w:sz w:val="32"/>
          <w:szCs w:val="32"/>
          <w:lang w:val="en-US" w:eastAsia="zh-CN" w:bidi="ar"/>
        </w:rPr>
        <w:t>份。</w:t>
      </w:r>
    </w:p>
    <w:p w14:paraId="08DD9B32">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3.我方承诺：本次比选的有效期为90天。</w:t>
      </w:r>
    </w:p>
    <w:p w14:paraId="647734A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4.我方完全理解和接受贵方比选文件的规定和要求及评审办法。</w:t>
      </w:r>
    </w:p>
    <w:p w14:paraId="0DD17EC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5.在整个比选过程中，我方若有违规行为，接受相关法律法规给予的惩罚。</w:t>
      </w:r>
    </w:p>
    <w:p w14:paraId="091619E3">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6.我方若中选，将按照比选结果签订合同，并且严格履行合同义务。本承诺函将成为合同不可分割的一部分，与合同具有同等的法律效力。</w:t>
      </w:r>
    </w:p>
    <w:p w14:paraId="41E0FBC6">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6B902DC5">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3686"/>
        <w:jc w:val="both"/>
        <w:textAlignment w:val="auto"/>
        <w:rPr>
          <w:rFonts w:hint="eastAsia" w:ascii="方正仿宋_GBK" w:hAnsi="方正仿宋_GBK" w:eastAsia="方正仿宋_GBK" w:cs="方正仿宋_GBK"/>
          <w:b w:val="0"/>
          <w:bCs/>
          <w:color w:val="000000"/>
          <w:sz w:val="32"/>
          <w:szCs w:val="32"/>
          <w:lang w:val="en-US"/>
        </w:rPr>
      </w:pPr>
      <w:r>
        <w:rPr>
          <w:rFonts w:hint="eastAsia" w:ascii="仿宋" w:hAnsi="仿宋" w:eastAsia="仿宋" w:cs="仿宋"/>
          <w:b w:val="0"/>
          <w:bCs/>
          <w:color w:val="000000"/>
          <w:kern w:val="2"/>
          <w:sz w:val="32"/>
          <w:szCs w:val="32"/>
          <w:lang w:val="en-US" w:eastAsia="zh-CN" w:bidi="ar"/>
        </w:rPr>
        <w:t>比选申请人名称</w:t>
      </w:r>
      <w:r>
        <w:rPr>
          <w:rFonts w:hint="eastAsia" w:ascii="方正仿宋_GBK" w:hAnsi="方正仿宋_GBK" w:eastAsia="方正仿宋_GBK" w:cs="方正仿宋_GBK"/>
          <w:b w:val="0"/>
          <w:bCs/>
          <w:color w:val="000000"/>
          <w:kern w:val="2"/>
          <w:sz w:val="32"/>
          <w:szCs w:val="32"/>
          <w:lang w:val="en-US" w:eastAsia="zh-CN" w:bidi="ar"/>
        </w:rPr>
        <w:t>（公章）：</w:t>
      </w:r>
    </w:p>
    <w:p w14:paraId="3736F0FF">
      <w:pPr>
        <w:keepNext w:val="0"/>
        <w:keepLines w:val="0"/>
        <w:pageBreakBefore w:val="0"/>
        <w:widowControl w:val="0"/>
        <w:suppressLineNumbers w:val="0"/>
        <w:wordWrap/>
        <w:topLinePunct w:val="0"/>
        <w:bidi w:val="0"/>
        <w:snapToGrid w:val="0"/>
        <w:spacing w:beforeAutospacing="0" w:afterAutospacing="0" w:line="560" w:lineRule="exact"/>
        <w:ind w:left="0" w:leftChars="0" w:right="0" w:rightChars="0" w:firstLine="5440" w:firstLineChars="17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02BCE752">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AE83A10">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B53AFB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B56194A">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2EBF421">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三、资格文件</w:t>
      </w:r>
    </w:p>
    <w:p w14:paraId="3AC218AE">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（一）营业执照（副本）或事业单位法人证书（副本）复印件。</w:t>
      </w:r>
    </w:p>
    <w:p w14:paraId="44D63CB6">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组织机构代码证复印件。</w:t>
      </w:r>
    </w:p>
    <w:p w14:paraId="64D460CA">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税务登记证（副本）原件扫描件和社会保险缴纳证明材料。</w:t>
      </w:r>
    </w:p>
    <w:p w14:paraId="4965990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rPr>
      </w:pPr>
      <w:r>
        <w:rPr>
          <w:rFonts w:hint="eastAsia" w:ascii="方正仿宋_GBK" w:hAnsi="方正仿宋_GBK" w:eastAsia="方正仿宋_GBK" w:cs="方正仿宋_GBK"/>
          <w:b w:val="0"/>
          <w:bCs/>
          <w:color w:val="000000"/>
          <w:kern w:val="2"/>
          <w:sz w:val="32"/>
          <w:szCs w:val="32"/>
          <w:lang w:val="en-US" w:eastAsia="zh-CN" w:bidi="ar"/>
        </w:rPr>
        <w:t>比</w:t>
      </w:r>
      <w:r>
        <w:rPr>
          <w:rFonts w:hint="eastAsia" w:ascii="仿宋" w:hAnsi="仿宋" w:eastAsia="仿宋" w:cs="仿宋"/>
          <w:b w:val="0"/>
          <w:bCs/>
          <w:color w:val="000000"/>
          <w:kern w:val="2"/>
          <w:sz w:val="32"/>
          <w:szCs w:val="32"/>
          <w:lang w:val="en-US" w:eastAsia="zh-CN" w:bidi="ar"/>
        </w:rPr>
        <w:t>选申请人</w:t>
      </w:r>
      <w:r>
        <w:rPr>
          <w:rFonts w:hint="eastAsia" w:ascii="方正仿宋_GBK" w:hAnsi="方正仿宋_GBK" w:eastAsia="方正仿宋_GBK" w:cs="方正仿宋_GBK"/>
          <w:b w:val="0"/>
          <w:bCs/>
          <w:color w:val="000000"/>
          <w:kern w:val="2"/>
          <w:sz w:val="32"/>
          <w:szCs w:val="32"/>
          <w:lang w:val="en-US" w:eastAsia="zh-CN" w:bidi="ar"/>
        </w:rPr>
        <w:t>按“三证合一”登记制度办理营业执照的，组织机构代码证和税务登记证以比选</w:t>
      </w:r>
      <w:r>
        <w:rPr>
          <w:rFonts w:hint="eastAsia" w:ascii="仿宋" w:hAnsi="仿宋" w:eastAsia="仿宋" w:cs="仿宋"/>
          <w:b w:val="0"/>
          <w:bCs/>
          <w:color w:val="000000"/>
          <w:kern w:val="2"/>
          <w:sz w:val="32"/>
          <w:szCs w:val="32"/>
          <w:lang w:val="en-US" w:eastAsia="zh-CN" w:bidi="ar"/>
        </w:rPr>
        <w:t>申请人</w:t>
      </w:r>
      <w:r>
        <w:rPr>
          <w:rFonts w:hint="eastAsia" w:ascii="方正仿宋_GBK" w:hAnsi="方正仿宋_GBK" w:eastAsia="方正仿宋_GBK" w:cs="方正仿宋_GBK"/>
          <w:b w:val="0"/>
          <w:bCs/>
          <w:color w:val="000000"/>
          <w:kern w:val="2"/>
          <w:sz w:val="32"/>
          <w:szCs w:val="32"/>
          <w:lang w:val="en-US" w:eastAsia="zh-CN" w:bidi="ar"/>
        </w:rPr>
        <w:t>所提供的法人营业执照（副本）原件扫描件为准。</w:t>
      </w:r>
    </w:p>
    <w:p w14:paraId="7E398D4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（四）特定资格条件证书或证明文件：（自行补充）</w:t>
      </w:r>
    </w:p>
    <w:p w14:paraId="0AAEDA87">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F000792">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26804CC">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1BD29D3">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19F1C86">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D718605">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79756C5">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21044B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17E0A3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30FF50C">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C87F2C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6E0C0A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2B2E3C4">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74BF455">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四、诚信承诺书</w:t>
      </w:r>
    </w:p>
    <w:p w14:paraId="6C72275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p>
    <w:p w14:paraId="45AA8D1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p>
    <w:p w14:paraId="5427952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致：（比选人）：</w:t>
      </w:r>
    </w:p>
    <w:p w14:paraId="56709A9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p>
    <w:p w14:paraId="0D0D328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w:t>
      </w:r>
      <w:r>
        <w:rPr>
          <w:rFonts w:hint="eastAsia" w:ascii="仿宋" w:hAnsi="仿宋" w:eastAsia="仿宋" w:cs="仿宋"/>
          <w:color w:val="000000"/>
          <w:kern w:val="2"/>
          <w:sz w:val="32"/>
          <w:szCs w:val="32"/>
          <w:lang w:val="en-US" w:eastAsia="zh-CN" w:bidi="ar"/>
        </w:rPr>
        <w:t>比选申请人名称</w:t>
      </w:r>
      <w:r>
        <w:rPr>
          <w:rFonts w:hint="eastAsia" w:ascii="方正仿宋_GBK" w:hAnsi="方正仿宋_GBK" w:eastAsia="方正仿宋_GBK" w:cs="方正仿宋_GBK"/>
          <w:color w:val="000000"/>
          <w:kern w:val="2"/>
          <w:sz w:val="32"/>
          <w:szCs w:val="32"/>
          <w:lang w:val="en-US" w:eastAsia="zh-CN" w:bidi="ar"/>
        </w:rPr>
        <w:t>）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比选</w:t>
      </w:r>
      <w:r>
        <w:rPr>
          <w:rFonts w:hint="eastAsia" w:ascii="仿宋" w:hAnsi="仿宋" w:eastAsia="仿宋" w:cs="仿宋"/>
          <w:color w:val="000000"/>
          <w:kern w:val="2"/>
          <w:sz w:val="32"/>
          <w:szCs w:val="32"/>
          <w:lang w:val="en-US" w:eastAsia="zh-CN" w:bidi="ar"/>
        </w:rPr>
        <w:t>申请人</w:t>
      </w:r>
      <w:r>
        <w:rPr>
          <w:rFonts w:hint="eastAsia" w:ascii="方正仿宋_GBK" w:hAnsi="方正仿宋_GBK" w:eastAsia="方正仿宋_GBK" w:cs="方正仿宋_GBK"/>
          <w:color w:val="000000"/>
          <w:kern w:val="2"/>
          <w:sz w:val="32"/>
          <w:szCs w:val="32"/>
          <w:lang w:val="en-US" w:eastAsia="zh-CN" w:bidi="ar"/>
        </w:rPr>
        <w:t>资格条件。我方对以上声明负全部法律责任。</w:t>
      </w:r>
    </w:p>
    <w:p w14:paraId="14D040B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特此声明。</w:t>
      </w:r>
    </w:p>
    <w:p w14:paraId="26FBAB1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3FC538D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4B55A0A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w:t>
      </w:r>
      <w:r>
        <w:rPr>
          <w:rFonts w:hint="eastAsia" w:ascii="仿宋" w:hAnsi="仿宋" w:eastAsia="仿宋" w:cs="仿宋"/>
          <w:color w:val="000000"/>
          <w:kern w:val="2"/>
          <w:sz w:val="32"/>
          <w:szCs w:val="32"/>
          <w:lang w:val="en-US" w:eastAsia="zh-CN" w:bidi="ar"/>
        </w:rPr>
        <w:t>比选申请人公章</w:t>
      </w:r>
      <w:r>
        <w:rPr>
          <w:rFonts w:hint="eastAsia" w:ascii="方正仿宋_GBK" w:hAnsi="方正仿宋_GBK" w:eastAsia="方正仿宋_GBK" w:cs="方正仿宋_GBK"/>
          <w:color w:val="000000"/>
          <w:kern w:val="2"/>
          <w:sz w:val="32"/>
          <w:szCs w:val="32"/>
          <w:lang w:val="en-US" w:eastAsia="zh-CN" w:bidi="ar"/>
        </w:rPr>
        <w:t>）</w:t>
      </w:r>
    </w:p>
    <w:p w14:paraId="14659CB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年   月   日</w:t>
      </w:r>
    </w:p>
    <w:p w14:paraId="1FF1A1AF">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1CCDCAAE">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41B5E5D2">
      <w:pPr>
        <w:tabs>
          <w:tab w:val="left" w:pos="6300"/>
        </w:tabs>
        <w:snapToGrid w:val="0"/>
        <w:spacing w:line="560" w:lineRule="exact"/>
        <w:outlineLvl w:val="0"/>
        <w:rPr>
          <w:rFonts w:hint="eastAsia" w:ascii="Times New Roman" w:hAnsi="Times New Roman" w:eastAsia="方正黑体_GBK"/>
          <w:bCs/>
          <w:sz w:val="32"/>
          <w:szCs w:val="32"/>
          <w:lang w:eastAsia="zh-CN" w:bidi="ar"/>
        </w:rPr>
      </w:pPr>
    </w:p>
    <w:p w14:paraId="336B0D25">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eastAsia="zh-CN" w:bidi="ar"/>
        </w:rPr>
        <w:t>五、比选文件规定的其他资料</w:t>
      </w:r>
    </w:p>
    <w:p w14:paraId="04A0EF9C">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76870FA5">
      <w:pPr>
        <w:pStyle w:val="16"/>
        <w:rPr>
          <w:rFonts w:hint="eastAsia"/>
          <w:color w:val="000000"/>
          <w:lang w:val="en-US"/>
        </w:rPr>
      </w:pPr>
    </w:p>
    <w:p w14:paraId="4815AB8C">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16E0ACAD">
      <w:pPr>
        <w:pStyle w:val="2"/>
        <w:widowControl/>
        <w:rPr>
          <w:rFonts w:hint="eastAsia" w:ascii="方正仿宋_GBK" w:hAnsi="方正仿宋_GBK" w:eastAsia="方正仿宋_GBK" w:cs="方正仿宋_GBK"/>
          <w:color w:val="000000"/>
          <w:lang w:val="en-US"/>
        </w:rPr>
      </w:pPr>
    </w:p>
    <w:p w14:paraId="0AF03B09">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color w:val="000000"/>
          <w:sz w:val="32"/>
          <w:szCs w:val="32"/>
          <w:lang w:val="en-US"/>
        </w:rPr>
      </w:pPr>
    </w:p>
    <w:p w14:paraId="2F440516">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b/>
          <w:snapToGrid w:val="0"/>
          <w:color w:val="000000"/>
          <w:kern w:val="0"/>
          <w:sz w:val="32"/>
          <w:szCs w:val="32"/>
          <w:lang w:val="en-US"/>
        </w:rPr>
      </w:pPr>
      <w:r>
        <w:rPr>
          <w:rFonts w:hint="eastAsia" w:ascii="方正仿宋_GBK" w:hAnsi="方正仿宋_GBK" w:eastAsia="方正仿宋_GBK" w:cs="方正仿宋_GBK"/>
          <w:color w:val="000000"/>
          <w:kern w:val="2"/>
          <w:sz w:val="32"/>
          <w:szCs w:val="32"/>
          <w:lang w:val="en-US" w:eastAsia="zh-CN" w:bidi="ar"/>
        </w:rPr>
        <w:t>（结束）</w:t>
      </w:r>
    </w:p>
    <w:p w14:paraId="28FE5D1C">
      <w:pPr>
        <w:keepNext w:val="0"/>
        <w:keepLines w:val="0"/>
        <w:widowControl w:val="0"/>
        <w:suppressLineNumbers w:val="0"/>
        <w:spacing w:before="0" w:beforeAutospacing="0" w:after="0" w:afterAutospacing="0" w:line="600" w:lineRule="exact"/>
        <w:ind w:right="0"/>
        <w:jc w:val="both"/>
        <w:rPr>
          <w:rFonts w:hint="eastAsia" w:ascii="方正仿宋_GBK" w:hAnsi="方正仿宋_GBK" w:eastAsia="方正仿宋_GBK" w:cs="方正仿宋_GBK"/>
          <w:color w:val="000000"/>
          <w:lang w:val="en-US" w:eastAsia="zh-CN"/>
        </w:rPr>
      </w:pPr>
    </w:p>
    <w:p w14:paraId="636A6BFE">
      <w:pPr>
        <w:rPr>
          <w:rFonts w:hint="eastAsia" w:ascii="方正仿宋_GBK" w:hAnsi="方正仿宋_GBK" w:eastAsia="方正仿宋_GBK" w:cs="方正仿宋_GBK"/>
          <w:color w:val="000000"/>
        </w:rPr>
      </w:pPr>
    </w:p>
    <w:sectPr>
      <w:footerReference r:id="rId5" w:type="default"/>
      <w:pgSz w:w="11906" w:h="16838"/>
      <w:pgMar w:top="1871" w:right="1474" w:bottom="1871"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embedRegular r:id="rId1" w:fontKey="{F2CE862A-8DA6-4139-B533-0EB5B977C566}"/>
  </w:font>
  <w:font w:name="Arial Unicode MS">
    <w:altName w:val="宋体"/>
    <w:panose1 w:val="020B0604020202020204"/>
    <w:charset w:val="86"/>
    <w:family w:val="swiss"/>
    <w:pitch w:val="default"/>
    <w:sig w:usb0="FFFFFFFF" w:usb1="E9FFFFFF" w:usb2="0000003F" w:usb3="00000000" w:csb0="603F01FF" w:csb1="FFFF0000"/>
  </w:font>
  <w:font w:name="方正黑体_GBK">
    <w:panose1 w:val="03000509000000000000"/>
    <w:charset w:val="86"/>
    <w:family w:val="script"/>
    <w:pitch w:val="default"/>
    <w:sig w:usb0="00000001" w:usb1="080E0000" w:usb2="00000000" w:usb3="00000000" w:csb0="00040000" w:csb1="00000000"/>
    <w:embedRegular r:id="rId2" w:fontKey="{855789FA-830A-4C78-A1F6-E51E6194C8FC}"/>
  </w:font>
  <w:font w:name="方正小标宋_GBK">
    <w:panose1 w:val="03000509000000000000"/>
    <w:charset w:val="86"/>
    <w:family w:val="auto"/>
    <w:pitch w:val="default"/>
    <w:sig w:usb0="00000001" w:usb1="080E0000" w:usb2="00000000" w:usb3="00000000" w:csb0="00040000" w:csb1="00000000"/>
    <w:embedRegular r:id="rId3" w:fontKey="{1E0BCF54-9DBD-4B1A-B79A-60A51094E200}"/>
  </w:font>
  <w:font w:name="仿宋">
    <w:panose1 w:val="02010609060101010101"/>
    <w:charset w:val="86"/>
    <w:family w:val="auto"/>
    <w:pitch w:val="default"/>
    <w:sig w:usb0="800002BF" w:usb1="38CF7CFA" w:usb2="00000016" w:usb3="00000000" w:csb0="00040001" w:csb1="00000000"/>
    <w:embedRegular r:id="rId4" w:fontKey="{A1523267-A551-4834-894E-678B9E0D53B2}"/>
  </w:font>
  <w:font w:name="方正楷体_GBK">
    <w:panose1 w:val="03000509000000000000"/>
    <w:charset w:val="86"/>
    <w:family w:val="script"/>
    <w:pitch w:val="default"/>
    <w:sig w:usb0="00000001" w:usb1="080E0000" w:usb2="00000000" w:usb3="00000000" w:csb0="00040000" w:csb1="00000000"/>
    <w:embedRegular r:id="rId5" w:fontKey="{D70FFE98-2703-426E-8A93-265C78458A38}"/>
  </w:font>
  <w:font w:name="KSOF8BCAC3A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864EC">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AB3F55">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47AB3F55">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5C1808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B0E1D">
    <w:pPr>
      <w:pStyle w:val="8"/>
      <w:rPr>
        <w:rFonts w:hint="eastAsia"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569D5B90">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41649">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3FFF1A">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7C3FFF1A">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75DBE1C9">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60B85"/>
    <w:multiLevelType w:val="singleLevel"/>
    <w:tmpl w:val="D9460B85"/>
    <w:lvl w:ilvl="0" w:tentative="0">
      <w:start w:val="1"/>
      <w:numFmt w:val="decimal"/>
      <w:lvlText w:val="%1."/>
      <w:lvlJc w:val="left"/>
      <w:pPr>
        <w:tabs>
          <w:tab w:val="left" w:pos="312"/>
        </w:tabs>
      </w:pPr>
    </w:lvl>
  </w:abstractNum>
  <w:abstractNum w:abstractNumId="1">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64E69"/>
    <w:rsid w:val="0089706F"/>
    <w:rsid w:val="04AE192E"/>
    <w:rsid w:val="050F46DE"/>
    <w:rsid w:val="06B852EF"/>
    <w:rsid w:val="07E615EE"/>
    <w:rsid w:val="07FC42A6"/>
    <w:rsid w:val="098552F6"/>
    <w:rsid w:val="099126BC"/>
    <w:rsid w:val="0A783AC9"/>
    <w:rsid w:val="0ABE3850"/>
    <w:rsid w:val="0ADB6E7D"/>
    <w:rsid w:val="0B332E62"/>
    <w:rsid w:val="0B34095F"/>
    <w:rsid w:val="0BE15727"/>
    <w:rsid w:val="0BE4681D"/>
    <w:rsid w:val="0BEE6621"/>
    <w:rsid w:val="0BF7303D"/>
    <w:rsid w:val="0CD22B75"/>
    <w:rsid w:val="0D277ECF"/>
    <w:rsid w:val="0E3C7D9C"/>
    <w:rsid w:val="0FE110E4"/>
    <w:rsid w:val="106579B1"/>
    <w:rsid w:val="109D413E"/>
    <w:rsid w:val="11863E28"/>
    <w:rsid w:val="12614BF9"/>
    <w:rsid w:val="12AA586C"/>
    <w:rsid w:val="1475026A"/>
    <w:rsid w:val="16B85907"/>
    <w:rsid w:val="16BD5580"/>
    <w:rsid w:val="17013AE2"/>
    <w:rsid w:val="170B70BE"/>
    <w:rsid w:val="17465999"/>
    <w:rsid w:val="17DB6AD3"/>
    <w:rsid w:val="17E7717C"/>
    <w:rsid w:val="18097A0D"/>
    <w:rsid w:val="188A1221"/>
    <w:rsid w:val="192749A0"/>
    <w:rsid w:val="195403E6"/>
    <w:rsid w:val="1A98388C"/>
    <w:rsid w:val="1B727FB9"/>
    <w:rsid w:val="1C7A05BE"/>
    <w:rsid w:val="1D0D3703"/>
    <w:rsid w:val="1E6C72D0"/>
    <w:rsid w:val="1EA93564"/>
    <w:rsid w:val="1EF06916"/>
    <w:rsid w:val="20937EA1"/>
    <w:rsid w:val="21192712"/>
    <w:rsid w:val="2208225B"/>
    <w:rsid w:val="22300105"/>
    <w:rsid w:val="23BF004B"/>
    <w:rsid w:val="24827114"/>
    <w:rsid w:val="24ED0FDA"/>
    <w:rsid w:val="256A70B2"/>
    <w:rsid w:val="259E2FAF"/>
    <w:rsid w:val="25A97C7F"/>
    <w:rsid w:val="25ED7C6D"/>
    <w:rsid w:val="26013AFE"/>
    <w:rsid w:val="270856BC"/>
    <w:rsid w:val="272F6CC5"/>
    <w:rsid w:val="27676FE8"/>
    <w:rsid w:val="27871DE1"/>
    <w:rsid w:val="279B07E0"/>
    <w:rsid w:val="27F32495"/>
    <w:rsid w:val="282E04AF"/>
    <w:rsid w:val="283D6BE2"/>
    <w:rsid w:val="29CC3486"/>
    <w:rsid w:val="29FF2BFA"/>
    <w:rsid w:val="2A922F90"/>
    <w:rsid w:val="2AA92D13"/>
    <w:rsid w:val="2BA610F7"/>
    <w:rsid w:val="2BDA1A1F"/>
    <w:rsid w:val="2BF367F7"/>
    <w:rsid w:val="2DE22362"/>
    <w:rsid w:val="2E72729A"/>
    <w:rsid w:val="309D2676"/>
    <w:rsid w:val="31471FE2"/>
    <w:rsid w:val="3172765E"/>
    <w:rsid w:val="31AD408C"/>
    <w:rsid w:val="32BD4241"/>
    <w:rsid w:val="334177C8"/>
    <w:rsid w:val="34D81FFA"/>
    <w:rsid w:val="35601844"/>
    <w:rsid w:val="37BC0263"/>
    <w:rsid w:val="38080D1C"/>
    <w:rsid w:val="3960176A"/>
    <w:rsid w:val="3A6860D9"/>
    <w:rsid w:val="3A7E4554"/>
    <w:rsid w:val="3B1F36A4"/>
    <w:rsid w:val="3B68078D"/>
    <w:rsid w:val="3B8339A9"/>
    <w:rsid w:val="3BA755E1"/>
    <w:rsid w:val="3C5E53AF"/>
    <w:rsid w:val="3CCE25B2"/>
    <w:rsid w:val="3D6A38DF"/>
    <w:rsid w:val="3E660E4F"/>
    <w:rsid w:val="3E97751A"/>
    <w:rsid w:val="3ECC4621"/>
    <w:rsid w:val="3F497FA2"/>
    <w:rsid w:val="3F6C1B91"/>
    <w:rsid w:val="41BA3DDD"/>
    <w:rsid w:val="42F73568"/>
    <w:rsid w:val="45BB48C4"/>
    <w:rsid w:val="46814717"/>
    <w:rsid w:val="46F25071"/>
    <w:rsid w:val="479F062A"/>
    <w:rsid w:val="47A42AD8"/>
    <w:rsid w:val="47AE290A"/>
    <w:rsid w:val="4A823911"/>
    <w:rsid w:val="4A90045C"/>
    <w:rsid w:val="4AE01685"/>
    <w:rsid w:val="4B775241"/>
    <w:rsid w:val="4BE56F53"/>
    <w:rsid w:val="4C0056B6"/>
    <w:rsid w:val="4DC47B37"/>
    <w:rsid w:val="4E432B3C"/>
    <w:rsid w:val="4F134B35"/>
    <w:rsid w:val="4FBE7097"/>
    <w:rsid w:val="4FCE7A0A"/>
    <w:rsid w:val="500D35D0"/>
    <w:rsid w:val="50722C14"/>
    <w:rsid w:val="50964CC0"/>
    <w:rsid w:val="510659A5"/>
    <w:rsid w:val="51131C92"/>
    <w:rsid w:val="51414310"/>
    <w:rsid w:val="51907961"/>
    <w:rsid w:val="51BF346C"/>
    <w:rsid w:val="5214521A"/>
    <w:rsid w:val="526F3A1A"/>
    <w:rsid w:val="52B9356C"/>
    <w:rsid w:val="52BD2BB7"/>
    <w:rsid w:val="52C64E69"/>
    <w:rsid w:val="54316AAD"/>
    <w:rsid w:val="54462559"/>
    <w:rsid w:val="546E32E8"/>
    <w:rsid w:val="54962B01"/>
    <w:rsid w:val="55201150"/>
    <w:rsid w:val="556A2277"/>
    <w:rsid w:val="58506817"/>
    <w:rsid w:val="59AA7659"/>
    <w:rsid w:val="59C43EB6"/>
    <w:rsid w:val="5A021224"/>
    <w:rsid w:val="5A2B10DC"/>
    <w:rsid w:val="5A7871E4"/>
    <w:rsid w:val="5B5A332C"/>
    <w:rsid w:val="5C195CAC"/>
    <w:rsid w:val="5C3315E4"/>
    <w:rsid w:val="5CA83DE1"/>
    <w:rsid w:val="5CE43ACA"/>
    <w:rsid w:val="5DF47E38"/>
    <w:rsid w:val="5EE94B54"/>
    <w:rsid w:val="60C95EDB"/>
    <w:rsid w:val="61031128"/>
    <w:rsid w:val="611B04DE"/>
    <w:rsid w:val="62CC2FF8"/>
    <w:rsid w:val="62EF7C32"/>
    <w:rsid w:val="63A66D9F"/>
    <w:rsid w:val="64106006"/>
    <w:rsid w:val="646F1658"/>
    <w:rsid w:val="6479739E"/>
    <w:rsid w:val="652808BB"/>
    <w:rsid w:val="657A02B4"/>
    <w:rsid w:val="65C81864"/>
    <w:rsid w:val="65C94837"/>
    <w:rsid w:val="67772AA9"/>
    <w:rsid w:val="679C6C08"/>
    <w:rsid w:val="68087CAC"/>
    <w:rsid w:val="68970EA9"/>
    <w:rsid w:val="68F42334"/>
    <w:rsid w:val="691C32BB"/>
    <w:rsid w:val="6AFC5C0F"/>
    <w:rsid w:val="6B3B6738"/>
    <w:rsid w:val="6BFB7008"/>
    <w:rsid w:val="6C036060"/>
    <w:rsid w:val="6C184383"/>
    <w:rsid w:val="6CB461E8"/>
    <w:rsid w:val="6E436527"/>
    <w:rsid w:val="6EC268D3"/>
    <w:rsid w:val="7065272E"/>
    <w:rsid w:val="70674A42"/>
    <w:rsid w:val="70774B64"/>
    <w:rsid w:val="708244C1"/>
    <w:rsid w:val="711C4915"/>
    <w:rsid w:val="714D2B6F"/>
    <w:rsid w:val="714D6F6C"/>
    <w:rsid w:val="717F11C6"/>
    <w:rsid w:val="719801F3"/>
    <w:rsid w:val="72FC6F03"/>
    <w:rsid w:val="737E5413"/>
    <w:rsid w:val="74337B32"/>
    <w:rsid w:val="744E75A1"/>
    <w:rsid w:val="748E3005"/>
    <w:rsid w:val="750C13CD"/>
    <w:rsid w:val="75B96BD7"/>
    <w:rsid w:val="763C5D0C"/>
    <w:rsid w:val="76500BBD"/>
    <w:rsid w:val="76B63ABC"/>
    <w:rsid w:val="77C936D1"/>
    <w:rsid w:val="78E10A9D"/>
    <w:rsid w:val="79A57516"/>
    <w:rsid w:val="7A4D62A0"/>
    <w:rsid w:val="7A8845EB"/>
    <w:rsid w:val="7A976EEE"/>
    <w:rsid w:val="7B260753"/>
    <w:rsid w:val="7B5E4C0F"/>
    <w:rsid w:val="7CA85057"/>
    <w:rsid w:val="7CAD2AA8"/>
    <w:rsid w:val="7D6242BE"/>
    <w:rsid w:val="7D85026B"/>
    <w:rsid w:val="7DC91981"/>
    <w:rsid w:val="7EFC18E2"/>
    <w:rsid w:val="7F7D3700"/>
    <w:rsid w:val="7FD3231D"/>
    <w:rsid w:val="FAFF7812"/>
    <w:rsid w:val="FE716C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Cambria" w:cs="Cambria"/>
      <w:b/>
      <w:kern w:val="0"/>
      <w:sz w:val="32"/>
      <w:szCs w:val="32"/>
      <w:lang w:val="en-US" w:eastAsia="zh-CN" w:bidi="ar"/>
    </w:rPr>
  </w:style>
  <w:style w:type="paragraph" w:styleId="2">
    <w:name w:val="heading 3"/>
    <w:basedOn w:val="1"/>
    <w:next w:val="1"/>
    <w:qFormat/>
    <w:uiPriority w:val="0"/>
    <w:pPr>
      <w:autoSpaceDE w:val="0"/>
      <w:autoSpaceDN w:val="0"/>
      <w:adjustRightInd w:val="0"/>
      <w:spacing w:before="16"/>
      <w:jc w:val="left"/>
      <w:outlineLvl w:val="2"/>
    </w:pPr>
    <w:rPr>
      <w:rFonts w:ascii="FangSong_GB2312" w:hAnsi="Times New Roman" w:eastAsia="FangSong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semiHidden/>
    <w:qFormat/>
    <w:uiPriority w:val="0"/>
  </w:style>
  <w:style w:type="table" w:default="1" w:styleId="13">
    <w:name w:val="Normal Table"/>
    <w:semiHidden/>
    <w:qFormat/>
    <w:uiPriority w:val="0"/>
    <w:tblPr>
      <w:tblStyle w:val="13"/>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Body Text"/>
    <w:basedOn w:val="1"/>
    <w:next w:val="1"/>
    <w:qFormat/>
    <w:uiPriority w:val="0"/>
    <w:pPr>
      <w:spacing w:after="120"/>
    </w:pPr>
    <w:rPr>
      <w:rFonts w:ascii="Times New Roman" w:hAnsi="Times New Roman" w:eastAsia="宋体" w:cs="Times New Roman"/>
      <w:szCs w:val="24"/>
    </w:rPr>
  </w:style>
  <w:style w:type="paragraph" w:styleId="7">
    <w:name w:val="Balloon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18"/>
      <w:szCs w:val="18"/>
      <w:lang w:val="en-US" w:eastAsia="zh-CN" w:bidi="ar"/>
    </w:rPr>
  </w:style>
  <w:style w:type="paragraph" w:styleId="8">
    <w:name w:val="footer"/>
    <w:basedOn w:val="1"/>
    <w:qFormat/>
    <w:uiPriority w:val="99"/>
    <w:pPr>
      <w:tabs>
        <w:tab w:val="center" w:pos="4153"/>
        <w:tab w:val="right" w:pos="8306"/>
      </w:tabs>
      <w:snapToGrid w:val="0"/>
      <w:spacing w:line="240" w:lineRule="atLeast"/>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7"/>
    <w:basedOn w:val="1"/>
    <w:next w:val="1"/>
    <w:unhideWhenUsed/>
    <w:qFormat/>
    <w:uiPriority w:val="99"/>
    <w:pPr>
      <w:widowControl w:val="0"/>
      <w:ind w:left="1200" w:leftChars="1200"/>
      <w:jc w:val="both"/>
    </w:pPr>
    <w:rPr>
      <w:rFonts w:ascii="Calibri" w:hAnsi="Calibri" w:eastAsia="方正仿宋_GBK" w:cs="宋体"/>
      <w:kern w:val="2"/>
      <w:sz w:val="32"/>
      <w:szCs w:val="24"/>
      <w:lang w:val="en-US" w:eastAsia="zh-CN" w:bidi="ar-SA"/>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方正仿宋_GBK" w:cs="Times New Roman"/>
      <w:kern w:val="2"/>
      <w:sz w:val="32"/>
      <w:szCs w:val="22"/>
      <w:lang w:val="en-US" w:eastAsia="zh-CN" w:bidi="ar"/>
    </w:rPr>
  </w:style>
  <w:style w:type="paragraph" w:customStyle="1" w:styleId="15">
    <w:name w:val="默认"/>
    <w:qFormat/>
    <w:uiPriority w:val="0"/>
    <w:rPr>
      <w:rFonts w:ascii="Arial Unicode MS" w:hAnsi="Arial Unicode MS" w:eastAsia="Times New Roman" w:cs="Arial Unicode MS"/>
      <w:color w:val="000000"/>
      <w:sz w:val="22"/>
      <w:szCs w:val="22"/>
      <w:lang w:val="ja-JP" w:eastAsia="ja-JP" w:bidi="ar-SA"/>
    </w:rPr>
  </w:style>
  <w:style w:type="paragraph" w:customStyle="1" w:styleId="16">
    <w:name w:val="Normal Indent1"/>
    <w:basedOn w:val="1"/>
    <w:qFormat/>
    <w:uiPriority w:val="0"/>
    <w:pPr>
      <w:ind w:firstLine="420" w:firstLineChars="200"/>
    </w:pPr>
    <w:rPr>
      <w:rFonts w:ascii="Times New Roman" w:hAnsi="Times New Roman" w:eastAsia="宋体" w:cs="Times New Roman"/>
      <w:szCs w:val="20"/>
    </w:rPr>
  </w:style>
  <w:style w:type="character" w:customStyle="1" w:styleId="17">
    <w:name w:val="content"/>
    <w:basedOn w:val="14"/>
    <w:qFormat/>
    <w:uiPriority w:val="0"/>
  </w:style>
  <w:style w:type="paragraph" w:customStyle="1" w:styleId="18">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6890</Words>
  <Characters>7179</Characters>
  <Lines>0</Lines>
  <Paragraphs>0</Paragraphs>
  <TotalTime>14</TotalTime>
  <ScaleCrop>false</ScaleCrop>
  <LinksUpToDate>false</LinksUpToDate>
  <CharactersWithSpaces>7389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2024-12-28T01:59:00Z</dcterms:created>
  <dc:creator>Administrator</dc:creator>
  <cp:lastModifiedBy>SweetYi</cp:lastModifiedBy>
  <cp:lastPrinted>2026-07-24T07:31:37Z</cp:lastPrinted>
  <dcterms:modified xsi:type="dcterms:W3CDTF">2026-09-08T08:14:12Z</dcterms:modified>
  <dc:title>巴南发改发〔2025〕1号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eyJoZGlkIjoiZDJkMTIwODFlNDU5MjE2NGE2MmJkNTA2ZWE2OGJkNWIiLCJ1c2VySWQiOiIxMTY4NjczNDU3In0=</vt:lpwstr>
  </property>
  <property fmtid="{D5CDD505-2E9C-101B-9397-08002B2CF9AE}" pid="4" name="ICV">
    <vt:lpwstr>BCD1FEB66EFD4CE0883CE0C361C3364B_13</vt:lpwstr>
  </property>
</Properties>
</file>