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2F9EF9B">
      <w:pPr>
        <w:pStyle w:val="16"/>
        <w:jc w:val="left"/>
      </w:pPr>
      <w:bookmarkStart w:id="0" w:name="_Toc0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1. 设计依据</w:t>
      </w:r>
      <w:bookmarkEnd w:id="0"/>
    </w:p>
    <w:p w14:paraId="1D677B75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《钢结构设计标准》GB 50017-2017</w:t>
      </w:r>
    </w:p>
    <w:p w14:paraId="5A878AB1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《钢结构防火涂料》GB 14907-2018</w:t>
      </w:r>
    </w:p>
    <w:p w14:paraId="4C137CE8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《建筑钢结构防火技术规范》GB 51249-2017</w:t>
      </w:r>
    </w:p>
    <w:p w14:paraId="47CDCD16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《钢结构防火涂料应用技术规范》CECS/T 24-2020</w:t>
      </w:r>
    </w:p>
    <w:p w14:paraId="4F40B1B3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《建筑设计防火规范》GB 50016-2014（2018修订版）</w:t>
      </w:r>
    </w:p>
    <w:p w14:paraId="06B8C0BF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《钢结构工程施工质量验收规范》GB 50205-2020</w:t>
      </w:r>
    </w:p>
    <w:p w14:paraId="485F663E">
      <w:pPr>
        <w:pStyle w:val="16"/>
        <w:jc w:val="left"/>
      </w:pPr>
      <w:bookmarkStart w:id="1" w:name="_Toc1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2. 计算软件信息</w:t>
      </w:r>
      <w:bookmarkEnd w:id="1"/>
    </w:p>
    <w:p w14:paraId="146C0794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本工程计算软件为PKPM钢结构设计软件 2025R3.0.1 。</w:t>
      </w:r>
    </w:p>
    <w:p w14:paraId="21BA9488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计算日期为 2026年 7月20日12时 1分37秒。</w:t>
      </w:r>
    </w:p>
    <w:p w14:paraId="59A268A6">
      <w:pPr>
        <w:pStyle w:val="16"/>
        <w:jc w:val="left"/>
      </w:pPr>
      <w:bookmarkStart w:id="2" w:name="_Toc2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3. 防火涂料信息</w:t>
      </w:r>
      <w:bookmarkEnd w:id="2"/>
    </w:p>
    <w:tbl>
      <w:tblPr>
        <w:tblStyle w:val="17"/>
        <w:tblW w:w="82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1"/>
        <w:gridCol w:w="2268"/>
        <w:gridCol w:w="2551"/>
      </w:tblGrid>
      <w:tr w14:paraId="6882A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0CE46B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涂料名称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443C7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类型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4A33DC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等效热传导系数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1DBA53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涂料型号</w:t>
            </w:r>
          </w:p>
        </w:tc>
      </w:tr>
      <w:tr w14:paraId="793E4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344777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防火涂料1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A06E0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5C89E9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0.10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0128FD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——</w:t>
            </w:r>
          </w:p>
        </w:tc>
      </w:tr>
      <w:tr w14:paraId="0A057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793AD7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防火涂料2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853C5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074EA5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无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322013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Steelmaster 60WB</w:t>
            </w:r>
          </w:p>
        </w:tc>
      </w:tr>
    </w:tbl>
    <w:p w14:paraId="5A9489B8">
      <w:pPr>
        <w:pStyle w:val="16"/>
        <w:jc w:val="left"/>
      </w:pPr>
      <w:bookmarkStart w:id="3" w:name="_Toc3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4. 钢构件防火设计</w:t>
      </w:r>
      <w:bookmarkEnd w:id="3"/>
    </w:p>
    <w:p w14:paraId="15354C7B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1、建筑耐火等级为二级。</w:t>
      </w:r>
    </w:p>
    <w:p w14:paraId="3ECD5095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2、按《建筑钢结构防火技术规范》GB 51249-2017临界温度法进行防火设计。</w:t>
      </w:r>
    </w:p>
    <w:p w14:paraId="6DF15AF3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3、防火设计内容：钢构件的耐火极限、防火涂料类型及热物理指标和涂层厚度，应按下表执行。</w:t>
      </w:r>
    </w:p>
    <w:tbl>
      <w:tblPr>
        <w:tblStyle w:val="17"/>
        <w:tblW w:w="102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134"/>
        <w:gridCol w:w="1134"/>
        <w:gridCol w:w="2835"/>
        <w:gridCol w:w="1134"/>
        <w:gridCol w:w="1701"/>
      </w:tblGrid>
      <w:tr w14:paraId="6E22D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736110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构件类别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73E55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编号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C4BCA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耐火极限（h）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57EA52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防火涂料类型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5267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涂层厚度（mm）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3ABA3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等效热阻(m^2*℃/w)</w:t>
            </w:r>
          </w:p>
        </w:tc>
      </w:tr>
      <w:tr w14:paraId="4138C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39E6AF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5251B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FC9EF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2.50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6DDEBB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EDC98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3.04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99613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0.2336</w:t>
            </w:r>
          </w:p>
        </w:tc>
      </w:tr>
      <w:tr w14:paraId="4AC32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6D8214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8D36A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311B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2.50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31DBCF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C3D4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3.04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6F345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0.2336</w:t>
            </w:r>
          </w:p>
        </w:tc>
      </w:tr>
      <w:tr w14:paraId="6E4DC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4D5B9D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E8C03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169D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1.50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0E70C8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73E0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1.23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089D2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0.1145</w:t>
            </w:r>
          </w:p>
        </w:tc>
      </w:tr>
      <w:tr w14:paraId="73B2A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0E63A4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53AA6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EB8F9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1.50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0E1FDF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11AEF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1.23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EA225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0.1145</w:t>
            </w:r>
          </w:p>
        </w:tc>
      </w:tr>
      <w:tr w14:paraId="008B4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3ED22D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29D36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3196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1.50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3DE1BE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0BA74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1.23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CAFB5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0.1145</w:t>
            </w:r>
          </w:p>
        </w:tc>
      </w:tr>
      <w:tr w14:paraId="1CDA7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502EA4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4985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3B57E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1.50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2C7B3A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B0A00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1.23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64873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0.1145</w:t>
            </w:r>
          </w:p>
        </w:tc>
      </w:tr>
    </w:tbl>
    <w:p w14:paraId="75B6F238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i/>
          <w:color w:val="000000"/>
          <w:sz w:val="24"/>
          <w:szCs w:val="24"/>
          <w:shd w:val="clear" w:color="auto" w:fill="FFFFFF"/>
        </w:rPr>
        <w:t xml:space="preserve">  注：1、计算得到的等效热阻超过材料定义的上限，该值为插值所得，仅供参考！</w:t>
      </w:r>
    </w:p>
    <w:p w14:paraId="13F6953F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i/>
          <w:color w:val="000000"/>
          <w:sz w:val="24"/>
          <w:szCs w:val="24"/>
          <w:shd w:val="clear" w:color="auto" w:fill="FFFFFF"/>
        </w:rPr>
        <w:t xml:space="preserve">      2、按GB 14907-2018《钢结构防火涂料》5.1.5条规定，膨胀型涂料厚度不应小于1.5mm！</w:t>
      </w:r>
    </w:p>
    <w:p w14:paraId="4C4C760A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4、构件类型统计的涂料表面积如下表</w:t>
      </w:r>
    </w:p>
    <w:tbl>
      <w:tblPr>
        <w:tblStyle w:val="17"/>
        <w:tblW w:w="102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90"/>
        <w:gridCol w:w="3508"/>
        <w:gridCol w:w="3508"/>
      </w:tblGrid>
      <w:tr w14:paraId="710E7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2835" w:type="dxa"/>
            <w:shd w:val="clear" w:color="auto" w:fill="FFFFFF"/>
            <w:vAlign w:val="center"/>
          </w:tcPr>
          <w:p w14:paraId="4D8D86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构件类型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723675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防火涂料类型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1DBC73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总表面积(m2)</w:t>
            </w:r>
          </w:p>
        </w:tc>
      </w:tr>
      <w:tr w14:paraId="6C55E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835" w:type="dxa"/>
            <w:shd w:val="clear" w:color="auto" w:fill="FFFFFF"/>
            <w:vAlign w:val="center"/>
          </w:tcPr>
          <w:p w14:paraId="535955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5EFFAC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59A7E1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9.600000</w:t>
            </w:r>
          </w:p>
        </w:tc>
      </w:tr>
      <w:tr w14:paraId="710ED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835" w:type="dxa"/>
            <w:shd w:val="clear" w:color="auto" w:fill="FFFFFF"/>
            <w:vAlign w:val="center"/>
          </w:tcPr>
          <w:p w14:paraId="218D90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0FE493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膨胀型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6C173F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6.967507</w:t>
            </w:r>
          </w:p>
        </w:tc>
      </w:tr>
    </w:tbl>
    <w:p w14:paraId="44A09734">
      <w:pPr>
        <w:pStyle w:val="16"/>
        <w:jc w:val="left"/>
      </w:pPr>
      <w:bookmarkStart w:id="4" w:name="_Toc4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5. 防火涂料技术要求</w:t>
      </w:r>
      <w:bookmarkEnd w:id="4"/>
    </w:p>
    <w:p w14:paraId="64E17A26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1. 非膨胀型防火涂料不应含有石棉和玻璃纤维等有害物质,不宜采用苯类溶剂类产品</w:t>
      </w:r>
    </w:p>
    <w:p w14:paraId="2B60CB31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2. 防火涂料应具有良好的变形能力和粘结性，在任何阶段均不能开裂、空鼓和脱落，也不能有流坠和乳突现象。</w:t>
      </w:r>
    </w:p>
    <w:p w14:paraId="49A2A4B9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3. 防火涂料的理化性能和热物理性能报告，应报业主和设计院结构工程师审批，确认后方可采购、施工。</w:t>
      </w:r>
    </w:p>
    <w:p w14:paraId="1E660E30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4. 非膨胀型防火涂料如使用腻子，应与防腐涂层、找平腻子具有相容性。</w:t>
      </w:r>
    </w:p>
    <w:p w14:paraId="5F2AF7EB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5. 非膨胀型室内防火涂料尚应满足如下要求：</w:t>
      </w:r>
    </w:p>
    <w:p w14:paraId="719DC1F3">
      <w:pPr>
        <w:spacing w:beforeLines="56" w:afterLines="56" w:line="113" w:lineRule="auto"/>
        <w:ind w:leftChars="200" w:rightChars="0"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5.1 应采用具有低碳环保性能的石膏基质防火涂料，任何耐火极限下的涂层厚度均不能低于15mm。</w:t>
      </w:r>
    </w:p>
    <w:p w14:paraId="175B0539">
      <w:pPr>
        <w:spacing w:beforeLines="56" w:afterLines="56" w:line="113" w:lineRule="auto"/>
        <w:ind w:leftChars="200" w:rightChars="0"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5.2 防火涂料粘结强度不低于0.04 MPa，抗压强度不低于0.3 MPa，干密度应不大于500 Kg/m3。</w:t>
      </w:r>
    </w:p>
    <w:p w14:paraId="256F9BEB">
      <w:pPr>
        <w:spacing w:beforeLines="56" w:afterLines="56" w:line="113" w:lineRule="auto"/>
        <w:ind w:leftChars="200" w:rightChars="0"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5.3 防火涂料进场后应按批次对性能指标进行复验，达到设计文件要求后方可施工、验收。</w:t>
      </w:r>
    </w:p>
    <w:p w14:paraId="76CB5952">
      <w:pPr>
        <w:spacing w:beforeLines="56" w:afterLines="56" w:line="113" w:lineRule="auto"/>
        <w:ind w:leftChars="200" w:rightChars="0"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5.4 防火涂料采用机械喷涂工艺施工，涂层厚度30mm及以下，连续喷涂，一次成型；45mm以下分2道分层施工，第一遍厚度8～12mm，余下厚度第二遍完成，两遍施工间隔15分钟。</w:t>
      </w:r>
    </w:p>
    <w:p w14:paraId="116B39DA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6. 非膨胀型室外防火涂料尚应满足如下要求：</w:t>
      </w:r>
    </w:p>
    <w:p w14:paraId="50C8FE28">
      <w:pPr>
        <w:spacing w:beforeLines="56" w:afterLines="56" w:line="113" w:lineRule="auto"/>
        <w:ind w:leftChars="200" w:rightChars="0"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6.1 应采用具有低碳环保性能的水泥基质防火涂料，任何耐火极限下的涂层厚度均不能低于15mm。</w:t>
      </w:r>
    </w:p>
    <w:p w14:paraId="535DFFF0">
      <w:pPr>
        <w:spacing w:beforeLines="56" w:afterLines="56" w:line="113" w:lineRule="auto"/>
        <w:ind w:leftChars="200" w:rightChars="0"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6.2 防火涂料粘结强度不低于0.04 MPa，抗压强度不低于0.5 MPa，干密度不大于650Kg/m3。</w:t>
      </w:r>
    </w:p>
    <w:p w14:paraId="74444DC3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7. 膨胀型防火涂料尚应满足如下要求：</w:t>
      </w:r>
    </w:p>
    <w:p w14:paraId="540651EA">
      <w:pPr>
        <w:spacing w:beforeLines="56" w:afterLines="56" w:line="113" w:lineRule="auto"/>
        <w:ind w:leftChars="200" w:rightChars="0"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7.1 应通过应急管理部消防产品合格评定中心颁发的消防产品认证证书。</w:t>
      </w:r>
    </w:p>
    <w:p w14:paraId="4C0D6F69">
      <w:pPr>
        <w:spacing w:beforeLines="56" w:afterLines="56" w:line="113" w:lineRule="auto"/>
        <w:ind w:leftChars="200" w:rightChars="0"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7.2 防火涂料耐久性与配套防腐蚀涂层保持一致，符合《建筑防火涂料有害物质限量及检测方法》JG/T415 针对建筑防火涂料有害物质限量相关要求。防火涂料优先采用低挥发性有机化合物含量涂料产品，水性防火涂料VOC不大于60g/L， 溶剂性防火涂料不大于420g/L。</w:t>
      </w:r>
    </w:p>
    <w:p w14:paraId="473CAAE2">
      <w:pPr>
        <w:spacing w:beforeLines="56" w:afterLines="56" w:line="113" w:lineRule="auto"/>
        <w:ind w:leftChars="200" w:rightChars="0"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7.3 膨胀型防火涂料粘结强度不应小于0.15 MPa; 非膨胀型防火涂料粘结强度不应小于0.04 MPa。</w:t>
      </w:r>
    </w:p>
    <w:p w14:paraId="273A58B0">
      <w:pPr>
        <w:spacing w:beforeLines="56" w:afterLines="56" w:line="113" w:lineRule="auto"/>
        <w:ind w:leftChars="200" w:rightChars="0"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7.4 防火涂料与防腐漆应具有材料和耐火性能相容性，面漆不能过厚。</w:t>
      </w:r>
      <w:bookmarkStart w:id="5" w:name="_GoBack"/>
      <w:bookmarkEnd w:id="5"/>
    </w:p>
    <w:sectPr>
      <w:headerReference r:id="rId3" w:type="default"/>
      <w:footerReference r:id="rId4" w:type="default"/>
      <w:pgSz w:w="16838" w:h="11906" w:orient="landscape"/>
      <w:pgMar w:top="567" w:right="850" w:bottom="453" w:left="1417" w:header="120" w:footer="200" w:gutter="0"/>
      <w:cols w:space="1134" w:num="1"/>
      <w:titlePg/>
      <w:docGrid w:type="lines" w:linePitch="1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83404"/>
      <w:docPartObj>
        <w:docPartGallery w:val="autotext"/>
      </w:docPartObj>
    </w:sdtPr>
    <w:sdtContent>
      <w:p w14:paraId="19914FD4"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0417F6">
    <w:pPr>
      <w:pStyle w:val="11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3FE62FB"/>
    <w:rsid w:val="49F14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semiHidden="0" w:name="toc 3"/>
    <w:lsdException w:uiPriority="39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0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51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52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toc 3"/>
    <w:basedOn w:val="1"/>
    <w:next w:val="1"/>
    <w:autoRedefine/>
    <w:unhideWhenUsed/>
    <w:uiPriority w:val="39"/>
    <w:pPr>
      <w:ind w:left="840" w:leftChars="400"/>
    </w:pPr>
  </w:style>
  <w:style w:type="paragraph" w:styleId="9">
    <w:name w:val="Balloon Text"/>
    <w:basedOn w:val="1"/>
    <w:link w:val="44"/>
    <w:semiHidden/>
    <w:unhideWhenUsed/>
    <w:uiPriority w:val="99"/>
    <w:rPr>
      <w:sz w:val="18"/>
      <w:szCs w:val="18"/>
    </w:rPr>
  </w:style>
  <w:style w:type="paragraph" w:styleId="10">
    <w:name w:val="footer"/>
    <w:basedOn w:val="1"/>
    <w:link w:val="4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autoRedefine/>
    <w:unhideWhenUsed/>
    <w:uiPriority w:val="39"/>
  </w:style>
  <w:style w:type="paragraph" w:styleId="13">
    <w:name w:val="toc 4"/>
    <w:basedOn w:val="1"/>
    <w:next w:val="1"/>
    <w:autoRedefine/>
    <w:unhideWhenUsed/>
    <w:uiPriority w:val="39"/>
    <w:pPr>
      <w:ind w:left="1260" w:leftChars="600"/>
    </w:pPr>
  </w:style>
  <w:style w:type="paragraph" w:styleId="14">
    <w:name w:val="Subtitle"/>
    <w:basedOn w:val="1"/>
    <w:next w:val="1"/>
    <w:link w:val="47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15">
    <w:name w:val="toc 2"/>
    <w:basedOn w:val="1"/>
    <w:next w:val="1"/>
    <w:autoRedefine/>
    <w:unhideWhenUsed/>
    <w:uiPriority w:val="39"/>
    <w:pPr>
      <w:ind w:left="420" w:leftChars="200"/>
    </w:pPr>
  </w:style>
  <w:style w:type="paragraph" w:styleId="16">
    <w:name w:val="Title"/>
    <w:basedOn w:val="1"/>
    <w:next w:val="1"/>
    <w:link w:val="45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18">
    <w:name w:val="Table Grid"/>
    <w:basedOn w:val="1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页眉 Char"/>
    <w:basedOn w:val="19"/>
    <w:link w:val="11"/>
    <w:uiPriority w:val="99"/>
    <w:rPr>
      <w:sz w:val="18"/>
      <w:szCs w:val="18"/>
    </w:rPr>
  </w:style>
  <w:style w:type="table" w:customStyle="1" w:styleId="21">
    <w:name w:val="三线式表格(三条线都为细线)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left w:val="nil"/>
          <w:bottom w:val="single" w:color="auto" w:sz="4" w:space="0"/>
          <w:right w:val="nil"/>
          <w:insideH w:val="nil"/>
          <w:insideV w:val="nil"/>
        </w:tcBorders>
      </w:tcPr>
    </w:tblStylePr>
  </w:style>
  <w:style w:type="table" w:customStyle="1" w:styleId="22">
    <w:name w:val="三线式表格(三条线都为细线)_表头为0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</w:tcBorders>
      </w:tcPr>
    </w:tblStylePr>
  </w:style>
  <w:style w:type="table" w:customStyle="1" w:styleId="23">
    <w:name w:val="三线式表格(三条线都为细线)_表头为2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4">
    <w:name w:val="三线式表格(三条线都为细线)_表头为3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5">
    <w:name w:val="三线式表格(顶底线粗，中线细)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6">
    <w:name w:val="三线式表格(顶底线粗，中线细)_表头为0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27">
    <w:name w:val="三线式表格(顶底线粗，中线细)_表头为2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8">
    <w:name w:val="三线式表格(顶底线粗，中线细)_表头为3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9">
    <w:name w:val="表头及底线粗，内线细，无两侧边框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0">
    <w:name w:val="表头及底线粗，内线细，无两侧边框_表头为0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31">
    <w:name w:val="表头及底线粗，内线细，无两侧边框_表头为2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2">
    <w:name w:val="表头及底线粗，内线细，无两侧边框_表头为3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3">
    <w:name w:val="表头及边框粗，内线细"/>
    <w:basedOn w:val="17"/>
    <w:qFormat/>
    <w:uiPriority w:val="99"/>
    <w:tblPr>
      <w:tblBorders>
        <w:top w:val="single" w:color="auto" w:sz="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6" w:space="0"/>
          <w:insideV w:val="single" w:sz="6" w:space="0"/>
          <w:tl2br w:val="nil"/>
          <w:tr2bl w:val="nil"/>
        </w:tcBorders>
      </w:tcPr>
    </w:tblStylePr>
  </w:style>
  <w:style w:type="table" w:customStyle="1" w:styleId="34">
    <w:name w:val="表头及边框粗，内线细_表头为0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</w:tcBorders>
      </w:tcPr>
    </w:tblStylePr>
  </w:style>
  <w:style w:type="table" w:customStyle="1" w:styleId="35">
    <w:name w:val="表头及边框粗，内线细_表头为2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6">
    <w:name w:val="表头及边框粗，内线细_表头为3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7">
    <w:name w:val="双外轮廓线式，外粗，内细 (表格内部线细)"/>
    <w:basedOn w:val="17"/>
    <w:qFormat/>
    <w:uiPriority w:val="99"/>
    <w:tblPr>
      <w:tblBorders>
        <w:top w:val="thinThickSmallGap" w:color="auto" w:sz="24" w:space="0"/>
        <w:left w:val="thinThickSmallGap" w:color="auto" w:sz="24" w:space="0"/>
        <w:bottom w:val="thickThinSmallGap" w:color="auto" w:sz="24" w:space="0"/>
        <w:right w:val="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8">
    <w:name w:val="双外轮廓线式，外细，内粗 (表格内部线细)"/>
    <w:basedOn w:val="17"/>
    <w:qFormat/>
    <w:uiPriority w:val="99"/>
    <w:tblPr>
      <w:tblBorders>
        <w:top w:val="thickThinSmallGap" w:color="auto" w:sz="24" w:space="0"/>
        <w:left w:val="thickThinSmallGap" w:color="auto" w:sz="24" w:space="0"/>
        <w:bottom w:val="thinThickSmallGap" w:color="auto" w:sz="24" w:space="0"/>
        <w:right w:val="thinThick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9">
    <w:name w:val="双外轮廓线式，外细，内细 (表格内部线细)"/>
    <w:basedOn w:val="17"/>
    <w:qFormat/>
    <w:uiPriority w:val="99"/>
    <w:tblPr>
      <w:tblBorders>
        <w:top w:val="double" w:color="auto" w:sz="6" w:space="0"/>
        <w:left w:val="double" w:color="auto" w:sz="6" w:space="0"/>
        <w:bottom w:val="double" w:color="auto" w:sz="6" w:space="0"/>
        <w:right w:val="double" w:color="auto" w:sz="6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三外轮廓线式，外细，中粗，内细 (表格内部线细)"/>
    <w:basedOn w:val="17"/>
    <w:qFormat/>
    <w:uiPriority w:val="99"/>
    <w:tblPr>
      <w:tblBorders>
        <w:top w:val="thinThickThinSmallGap" w:color="auto" w:sz="24" w:space="0"/>
        <w:left w:val="thinThickThinSmallGap" w:color="auto" w:sz="24" w:space="0"/>
        <w:bottom w:val="thinThickThinSmallGap" w:color="auto" w:sz="24" w:space="0"/>
        <w:right w:val="thin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三维式外轮廓线(表格内部线细)"/>
    <w:basedOn w:val="17"/>
    <w:qFormat/>
    <w:uiPriority w:val="99"/>
    <w:tblPr>
      <w:tblBorders>
        <w:top w:val="threeDEmboss" w:color="auto" w:sz="24" w:space="0"/>
        <w:left w:val="threeDEmboss" w:color="auto" w:sz="24" w:space="0"/>
        <w:bottom w:val="threeDEngrave" w:color="auto" w:sz="24" w:space="0"/>
        <w:right w:val="threeDEngrave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无线条"/>
    <w:basedOn w:val="17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页脚 Char"/>
    <w:basedOn w:val="19"/>
    <w:link w:val="10"/>
    <w:uiPriority w:val="99"/>
    <w:rPr>
      <w:sz w:val="18"/>
      <w:szCs w:val="18"/>
    </w:rPr>
  </w:style>
  <w:style w:type="character" w:customStyle="1" w:styleId="44">
    <w:name w:val="批注框文本 Char"/>
    <w:basedOn w:val="19"/>
    <w:link w:val="9"/>
    <w:semiHidden/>
    <w:uiPriority w:val="99"/>
    <w:rPr>
      <w:sz w:val="18"/>
      <w:szCs w:val="18"/>
    </w:rPr>
  </w:style>
  <w:style w:type="character" w:customStyle="1" w:styleId="45">
    <w:name w:val="标题 Char"/>
    <w:basedOn w:val="19"/>
    <w:link w:val="16"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46">
    <w:name w:val="标题 1 Char"/>
    <w:basedOn w:val="19"/>
    <w:link w:val="2"/>
    <w:uiPriority w:val="9"/>
    <w:rPr>
      <w:b/>
      <w:bCs/>
      <w:kern w:val="44"/>
      <w:sz w:val="44"/>
      <w:szCs w:val="44"/>
    </w:rPr>
  </w:style>
  <w:style w:type="character" w:customStyle="1" w:styleId="47">
    <w:name w:val="副标题 Char"/>
    <w:basedOn w:val="19"/>
    <w:link w:val="14"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48">
    <w:name w:val="标题 2 Char"/>
    <w:basedOn w:val="19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9">
    <w:name w:val="标题 3 Char"/>
    <w:basedOn w:val="19"/>
    <w:link w:val="4"/>
    <w:uiPriority w:val="9"/>
    <w:rPr>
      <w:b/>
      <w:bCs/>
      <w:sz w:val="32"/>
      <w:szCs w:val="32"/>
    </w:rPr>
  </w:style>
  <w:style w:type="character" w:customStyle="1" w:styleId="50">
    <w:name w:val="标题 4 Char"/>
    <w:basedOn w:val="19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51">
    <w:name w:val="标题 5 Char"/>
    <w:basedOn w:val="19"/>
    <w:link w:val="6"/>
    <w:uiPriority w:val="9"/>
    <w:rPr>
      <w:b/>
      <w:bCs/>
      <w:sz w:val="28"/>
      <w:szCs w:val="28"/>
    </w:rPr>
  </w:style>
  <w:style w:type="character" w:customStyle="1" w:styleId="52">
    <w:name w:val="标题 6 Char"/>
    <w:basedOn w:val="19"/>
    <w:link w:val="7"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53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1292</Words>
  <Characters>1646</Characters>
  <Lines>1</Lines>
  <Paragraphs>1</Paragraphs>
  <TotalTime>5</TotalTime>
  <ScaleCrop>false</ScaleCrop>
  <LinksUpToDate>false</LinksUpToDate>
  <CharactersWithSpaces>1787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2015-03-16T03:08:00Z</dcterms:created>
  <dc:creator>Admin</dc:creator>
  <cp:lastModifiedBy>邹洪伟</cp:lastModifiedBy>
  <dcterms:modified xsi:type="dcterms:W3CDTF">2026-07-21T13:37:59Z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40ABA9C950464182B31AC0E72BD64474_13</vt:lpwstr>
  </property>
  <property fmtid="{D5CDD505-2E9C-101B-9397-08002B2CF9AE}" pid="4" name="KSOTemplateDocerSaveRecord">
    <vt:lpwstr>eyJoZGlkIjoiNTU0ZmIwYTQ3NzlmZGUxZmU3Zjk0M2IyZTNmM2IxNjAiLCJ1c2VySWQiOiIxMTQxMDQ1ODEyIn0=</vt:lpwstr>
  </property>
</Properties>
</file>