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巴南区限额以下工程建设项目比选文件</w:t>
      </w:r>
    </w:p>
    <w:p>
      <w:pPr>
        <w:spacing w:after="0" w:line="560" w:lineRule="exact"/>
        <w:jc w:val="both"/>
        <w:rPr>
          <w:rFonts w:ascii="Calibri" w:hAnsi="Calibri" w:eastAsia="宋体" w:cs="Times New Roman"/>
          <w:kern w:val="0"/>
          <w:sz w:val="24"/>
          <w:highlight w:val="none"/>
        </w:rPr>
      </w:pPr>
    </w:p>
    <w:p>
      <w:pPr>
        <w:spacing w:line="560" w:lineRule="exact"/>
        <w:jc w:val="both"/>
        <w:rPr>
          <w:rFonts w:ascii="Calibri" w:hAnsi="Calibri" w:eastAsia="方正仿宋_GBK" w:cs="Times New Roman"/>
          <w:b/>
          <w:sz w:val="28"/>
          <w:szCs w:val="28"/>
          <w:highlight w:val="none"/>
        </w:rPr>
      </w:pPr>
    </w:p>
    <w:p>
      <w:pPr>
        <w:spacing w:line="560" w:lineRule="exact"/>
        <w:jc w:val="both"/>
        <w:rPr>
          <w:rFonts w:ascii="Calibri" w:hAnsi="Calibri" w:eastAsia="方正仿宋_GBK" w:cs="Times New Roman"/>
          <w:sz w:val="28"/>
          <w:szCs w:val="28"/>
          <w:highlight w:val="none"/>
        </w:rPr>
      </w:pPr>
    </w:p>
    <w:p>
      <w:pPr>
        <w:tabs>
          <w:tab w:val="left" w:pos="215"/>
        </w:tabs>
        <w:spacing w:line="560" w:lineRule="exact"/>
        <w:jc w:val="left"/>
        <w:rPr>
          <w:rFonts w:ascii="Times New Roman" w:hAnsi="Times New Roman" w:eastAsia="方正仿宋_GBK" w:cs="Times New Roman"/>
          <w:color w:val="auto"/>
          <w:sz w:val="36"/>
          <w:szCs w:val="36"/>
          <w:highlight w:val="none"/>
        </w:rPr>
      </w:pPr>
    </w:p>
    <w:p>
      <w:pPr>
        <w:keepNext w:val="0"/>
        <w:keepLines w:val="0"/>
        <w:pageBreakBefore w:val="0"/>
        <w:widowControl w:val="0"/>
        <w:tabs>
          <w:tab w:val="left" w:pos="215"/>
        </w:tabs>
        <w:kinsoku/>
        <w:wordWrap/>
        <w:overflowPunct/>
        <w:topLinePunct w:val="0"/>
        <w:autoSpaceDE/>
        <w:autoSpaceDN/>
        <w:bidi w:val="0"/>
        <w:adjustRightInd/>
        <w:snapToGrid/>
        <w:spacing w:line="560" w:lineRule="exact"/>
        <w:ind w:left="2340" w:hanging="2340" w:hangingChars="650"/>
        <w:jc w:val="left"/>
        <w:textAlignment w:val="auto"/>
        <w:outlineLvl w:val="9"/>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6"/>
          <w:szCs w:val="36"/>
          <w:highlight w:val="none"/>
        </w:rPr>
        <w:t>项 目 名 称：</w:t>
      </w:r>
      <w:r>
        <w:rPr>
          <w:rFonts w:hint="eastAsia" w:ascii="Times New Roman" w:hAnsi="Times New Roman" w:eastAsia="方正仿宋_GBK" w:cs="Times New Roman"/>
          <w:kern w:val="0"/>
          <w:sz w:val="36"/>
          <w:szCs w:val="36"/>
          <w:highlight w:val="none"/>
        </w:rPr>
        <w:t>木洞中坝岛民房加固工程、前期民宿装饰装修及室外景观配套附属工程监理项目</w:t>
      </w:r>
    </w:p>
    <w:p>
      <w:pPr>
        <w:spacing w:line="560" w:lineRule="exact"/>
        <w:jc w:val="both"/>
        <w:rPr>
          <w:rFonts w:ascii="Times New Roman" w:hAnsi="Times New Roman" w:eastAsia="方正仿宋_GBK" w:cs="Times New Roman"/>
          <w:color w:val="auto"/>
          <w:sz w:val="36"/>
          <w:szCs w:val="36"/>
          <w:highlight w:val="none"/>
        </w:rPr>
      </w:pPr>
      <w:r>
        <w:rPr>
          <w:rFonts w:ascii="Times New Roman" w:hAnsi="Times New Roman" w:eastAsia="方正仿宋_GBK" w:cs="Times New Roman"/>
          <w:color w:val="auto"/>
          <w:sz w:val="36"/>
          <w:szCs w:val="36"/>
          <w:highlight w:val="none"/>
        </w:rPr>
        <w:t xml:space="preserve"> </w:t>
      </w:r>
    </w:p>
    <w:p>
      <w:pPr>
        <w:spacing w:line="560" w:lineRule="exact"/>
        <w:jc w:val="both"/>
        <w:rPr>
          <w:rFonts w:ascii="Times New Roman" w:hAnsi="Times New Roman" w:eastAsia="方正仿宋_GBK" w:cs="Times New Roman"/>
          <w:color w:val="auto"/>
          <w:sz w:val="36"/>
          <w:szCs w:val="36"/>
          <w:highlight w:val="none"/>
        </w:rPr>
      </w:pPr>
    </w:p>
    <w:p>
      <w:pPr>
        <w:spacing w:line="560" w:lineRule="exact"/>
        <w:jc w:val="both"/>
        <w:rPr>
          <w:rFonts w:hint="eastAsia" w:ascii="Times New Roman" w:hAnsi="Times New Roman" w:eastAsia="方正仿宋_GBK" w:cs="Times New Roman"/>
          <w:color w:val="auto"/>
          <w:kern w:val="0"/>
          <w:sz w:val="36"/>
          <w:szCs w:val="36"/>
          <w:highlight w:val="none"/>
        </w:rPr>
      </w:pPr>
      <w:r>
        <w:rPr>
          <w:rFonts w:ascii="Times New Roman" w:hAnsi="Times New Roman" w:eastAsia="方正仿宋_GBK" w:cs="Times New Roman"/>
          <w:color w:val="auto"/>
          <w:kern w:val="0"/>
          <w:sz w:val="36"/>
          <w:szCs w:val="36"/>
          <w:highlight w:val="none"/>
        </w:rPr>
        <w:t>采   购  人：</w:t>
      </w:r>
      <w:r>
        <w:rPr>
          <w:rFonts w:hint="eastAsia" w:ascii="Times New Roman" w:hAnsi="Times New Roman" w:eastAsia="方正仿宋_GBK" w:cs="Times New Roman"/>
          <w:color w:val="auto"/>
          <w:sz w:val="36"/>
          <w:szCs w:val="36"/>
          <w:highlight w:val="none"/>
        </w:rPr>
        <w:t>重庆巴洲文化旅游产业集团有限公司</w:t>
      </w:r>
    </w:p>
    <w:p>
      <w:pPr>
        <w:spacing w:line="560" w:lineRule="exact"/>
        <w:jc w:val="both"/>
        <w:rPr>
          <w:rFonts w:ascii="Times New Roman" w:hAnsi="Times New Roman" w:eastAsia="方正小标宋_GBK" w:cs="Times New Roman"/>
          <w:color w:val="auto"/>
          <w:sz w:val="32"/>
          <w:szCs w:val="32"/>
          <w:highlight w:val="none"/>
        </w:rPr>
      </w:pPr>
    </w:p>
    <w:p>
      <w:pPr>
        <w:spacing w:line="560" w:lineRule="exact"/>
        <w:jc w:val="both"/>
        <w:rPr>
          <w:rFonts w:ascii="Times New Roman" w:hAnsi="Times New Roman" w:eastAsia="方正仿宋_GBK" w:cs="Times New Roman"/>
          <w:color w:val="auto"/>
          <w:sz w:val="36"/>
          <w:szCs w:val="36"/>
          <w:highlight w:val="none"/>
        </w:rPr>
      </w:pPr>
    </w:p>
    <w:p>
      <w:pPr>
        <w:spacing w:line="560" w:lineRule="exact"/>
        <w:jc w:val="both"/>
        <w:rPr>
          <w:rFonts w:ascii="Times New Roman" w:hAnsi="Times New Roman" w:eastAsia="方正仿宋_GBK" w:cs="Times New Roman"/>
          <w:color w:val="auto"/>
          <w:sz w:val="28"/>
          <w:szCs w:val="28"/>
          <w:highlight w:val="none"/>
        </w:rPr>
      </w:pPr>
    </w:p>
    <w:p>
      <w:pPr>
        <w:ind w:firstLine="560" w:firstLineChars="200"/>
        <w:jc w:val="both"/>
        <w:rPr>
          <w:rFonts w:ascii="Times New Roman" w:hAnsi="Times New Roman" w:eastAsia="方正仿宋_GBK" w:cs="Times New Roman"/>
          <w:color w:val="auto"/>
          <w:sz w:val="28"/>
          <w:szCs w:val="28"/>
          <w:highlight w:val="none"/>
        </w:rPr>
      </w:pPr>
    </w:p>
    <w:p>
      <w:pPr>
        <w:ind w:firstLine="560" w:firstLineChars="200"/>
        <w:jc w:val="both"/>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28"/>
          <w:szCs w:val="28"/>
          <w:highlight w:val="none"/>
        </w:rPr>
      </w:pPr>
    </w:p>
    <w:p>
      <w:pPr>
        <w:spacing w:line="560" w:lineRule="exact"/>
        <w:jc w:val="center"/>
        <w:rPr>
          <w:rFonts w:ascii="Times New Roman" w:hAnsi="Times New Roman" w:eastAsia="方正仿宋_GBK" w:cs="Times New Roman"/>
          <w:color w:val="auto"/>
          <w:sz w:val="36"/>
          <w:szCs w:val="36"/>
          <w:highlight w:val="none"/>
        </w:rPr>
      </w:pPr>
      <w:r>
        <w:rPr>
          <w:rFonts w:hint="eastAsia" w:ascii="Times New Roman" w:hAnsi="Times New Roman" w:eastAsia="方正仿宋_GBK" w:cs="Times New Roman"/>
          <w:color w:val="auto"/>
          <w:sz w:val="36"/>
          <w:szCs w:val="36"/>
          <w:highlight w:val="none"/>
        </w:rPr>
        <w:t>202</w:t>
      </w:r>
      <w:r>
        <w:rPr>
          <w:rFonts w:hint="eastAsia" w:ascii="Times New Roman" w:hAnsi="Times New Roman" w:eastAsia="方正仿宋_GBK" w:cs="Times New Roman"/>
          <w:color w:val="auto"/>
          <w:sz w:val="36"/>
          <w:szCs w:val="36"/>
          <w:highlight w:val="none"/>
          <w:lang w:val="en-US" w:eastAsia="zh-CN"/>
        </w:rPr>
        <w:t>6</w:t>
      </w:r>
      <w:r>
        <w:rPr>
          <w:rFonts w:ascii="Times New Roman" w:hAnsi="Times New Roman" w:eastAsia="方正仿宋_GBK" w:cs="Times New Roman"/>
          <w:color w:val="auto"/>
          <w:sz w:val="36"/>
          <w:szCs w:val="36"/>
          <w:highlight w:val="none"/>
        </w:rPr>
        <w:t>年</w:t>
      </w:r>
      <w:r>
        <w:rPr>
          <w:rFonts w:hint="eastAsia" w:ascii="Times New Roman" w:hAnsi="Times New Roman" w:eastAsia="方正仿宋_GBK" w:cs="Times New Roman"/>
          <w:color w:val="auto"/>
          <w:sz w:val="36"/>
          <w:szCs w:val="36"/>
          <w:highlight w:val="none"/>
          <w:lang w:val="en-US" w:eastAsia="zh-CN"/>
        </w:rPr>
        <w:t>7</w:t>
      </w:r>
      <w:r>
        <w:rPr>
          <w:rFonts w:ascii="Times New Roman" w:hAnsi="Times New Roman" w:eastAsia="方正仿宋_GBK" w:cs="Times New Roman"/>
          <w:color w:val="auto"/>
          <w:sz w:val="36"/>
          <w:szCs w:val="36"/>
          <w:highlight w:val="none"/>
        </w:rPr>
        <w:t>月</w:t>
      </w:r>
    </w:p>
    <w:p>
      <w:pPr>
        <w:spacing w:line="560" w:lineRule="exact"/>
        <w:jc w:val="both"/>
        <w:rPr>
          <w:rFonts w:ascii="Times New Roman" w:hAnsi="Times New Roman" w:eastAsia="方正仿宋_GBK" w:cs="Times New Roman"/>
          <w:color w:val="auto"/>
          <w:sz w:val="36"/>
          <w:szCs w:val="36"/>
          <w:highlight w:val="none"/>
        </w:rPr>
        <w:sectPr>
          <w:footerReference r:id="rId3" w:type="default"/>
          <w:footerReference r:id="rId4" w:type="even"/>
          <w:pgSz w:w="11906" w:h="16838"/>
          <w:pgMar w:top="2098" w:right="1531" w:bottom="1984" w:left="1531" w:header="851" w:footer="992" w:gutter="0"/>
          <w:cols w:space="0" w:num="1"/>
          <w:docGrid w:type="lines" w:linePitch="312" w:charSpace="0"/>
        </w:sectPr>
      </w:pPr>
    </w:p>
    <w:p>
      <w:pPr>
        <w:keepNext w:val="0"/>
        <w:keepLines w:val="0"/>
        <w:pageBreakBefore w:val="0"/>
        <w:wordWrap/>
        <w:topLinePunct w:val="0"/>
        <w:bidi w:val="0"/>
        <w:adjustRightInd w:val="0"/>
        <w:snapToGrid w:val="0"/>
        <w:spacing w:line="56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现对</w:t>
      </w:r>
      <w:r>
        <w:rPr>
          <w:rFonts w:hint="eastAsia" w:ascii="Times New Roman" w:hAnsi="Times New Roman" w:eastAsia="方正仿宋_GBK" w:cs="Times New Roman"/>
          <w:color w:val="auto"/>
          <w:sz w:val="32"/>
          <w:szCs w:val="32"/>
          <w:highlight w:val="none"/>
          <w:u w:val="single"/>
        </w:rPr>
        <w:t>木洞中坝岛民房加固工程、前期民宿装饰装修及室外景观配套附属工程监理项目</w:t>
      </w:r>
      <w:r>
        <w:rPr>
          <w:rFonts w:ascii="Times New Roman" w:hAnsi="Times New Roman" w:eastAsia="方正仿宋_GBK" w:cs="Times New Roman"/>
          <w:color w:val="auto"/>
          <w:sz w:val="32"/>
          <w:szCs w:val="32"/>
          <w:highlight w:val="none"/>
        </w:rPr>
        <w:t>进行比选。欢迎符合条件的承包商前来参加。</w:t>
      </w:r>
    </w:p>
    <w:p>
      <w:pPr>
        <w:keepNext w:val="0"/>
        <w:keepLines w:val="0"/>
        <w:pageBreakBefore w:val="0"/>
        <w:widowControl/>
        <w:kinsoku w:val="0"/>
        <w:wordWrap/>
        <w:overflowPunct w:val="0"/>
        <w:topLinePunct w:val="0"/>
        <w:autoSpaceDE w:val="0"/>
        <w:autoSpaceDN w:val="0"/>
        <w:bidi w:val="0"/>
        <w:adjustRightInd w:val="0"/>
        <w:snapToGrid w:val="0"/>
        <w:spacing w:after="0" w:line="560" w:lineRule="exact"/>
        <w:ind w:firstLine="640" w:firstLineChars="200"/>
        <w:jc w:val="both"/>
        <w:textAlignment w:val="auto"/>
        <w:rPr>
          <w:rFonts w:ascii="Times New Roman" w:hAnsi="Times New Roman" w:eastAsia="方正黑体_GBK" w:cs="Times New Roman"/>
          <w:color w:val="auto"/>
          <w:sz w:val="32"/>
          <w:szCs w:val="32"/>
          <w:highlight w:val="none"/>
        </w:rPr>
      </w:pPr>
      <w:r>
        <w:rPr>
          <w:rFonts w:ascii="Times New Roman" w:hAnsi="Times New Roman" w:eastAsia="方正黑体_GBK" w:cs="Times New Roman"/>
          <w:color w:val="auto"/>
          <w:sz w:val="32"/>
          <w:szCs w:val="32"/>
          <w:highlight w:val="none"/>
        </w:rPr>
        <w:t>一、比选内容</w:t>
      </w:r>
    </w:p>
    <w:tbl>
      <w:tblPr>
        <w:tblStyle w:val="19"/>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8"/>
        <w:gridCol w:w="1705"/>
        <w:gridCol w:w="1431"/>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3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项目内容</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最高限价</w:t>
            </w: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资金来源</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ordWrap/>
              <w:topLinePunct w:val="0"/>
              <w:bidi w:val="0"/>
              <w:adjustRightInd w:val="0"/>
              <w:snapToGrid w:val="0"/>
              <w:spacing w:line="560" w:lineRule="exact"/>
              <w:jc w:val="center"/>
              <w:textAlignment w:val="auto"/>
              <w:rPr>
                <w:rFonts w:ascii="Times New Roman" w:hAnsi="Times New Roman" w:eastAsia="方正黑体_GBK" w:cs="Times New Roman"/>
                <w:bCs/>
                <w:color w:val="auto"/>
                <w:kern w:val="0"/>
                <w:sz w:val="28"/>
                <w:szCs w:val="28"/>
                <w:highlight w:val="none"/>
              </w:rPr>
            </w:pPr>
            <w:r>
              <w:rPr>
                <w:rFonts w:ascii="Times New Roman" w:hAnsi="Times New Roman" w:eastAsia="方正黑体_GBK" w:cs="Times New Roman"/>
                <w:bCs/>
                <w:color w:val="auto"/>
                <w:kern w:val="0"/>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3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ascii="Times New Roman" w:hAnsi="Times New Roman" w:eastAsia="方正仿宋_GBK" w:cs="Times New Roman"/>
                <w:bCs/>
                <w:color w:val="auto"/>
                <w:kern w:val="0"/>
                <w:sz w:val="28"/>
                <w:szCs w:val="28"/>
                <w:highlight w:val="none"/>
              </w:rPr>
            </w:pPr>
            <w:r>
              <w:rPr>
                <w:rFonts w:hint="eastAsia" w:ascii="Times New Roman" w:hAnsi="Times New Roman" w:eastAsia="方正仿宋_GBK" w:cs="Times New Roman"/>
                <w:bCs/>
                <w:color w:val="auto"/>
                <w:kern w:val="0"/>
                <w:sz w:val="28"/>
                <w:szCs w:val="28"/>
                <w:highlight w:val="none"/>
              </w:rPr>
              <w:t>木洞中坝岛民房加固工程、前期民宿装饰装修及室外景观配套附属工程监理项目</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4.62</w:t>
            </w: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wordWrap/>
              <w:topLinePunct w:val="0"/>
              <w:bidi w:val="0"/>
              <w:adjustRightInd w:val="0"/>
              <w:snapToGrid w:val="0"/>
              <w:spacing w:line="560" w:lineRule="exact"/>
              <w:jc w:val="center"/>
              <w:textAlignment w:val="auto"/>
              <w:rPr>
                <w:rFonts w:hint="default" w:ascii="Times New Roman" w:hAnsi="Times New Roman" w:eastAsia="方正仿宋_GBK" w:cs="Times New Roman"/>
                <w:bCs/>
                <w:color w:val="auto"/>
                <w:kern w:val="0"/>
                <w:sz w:val="32"/>
                <w:szCs w:val="32"/>
                <w:highlight w:val="none"/>
                <w:lang w:val="en-US" w:eastAsia="zh-CN"/>
              </w:rPr>
            </w:pPr>
            <w:r>
              <w:rPr>
                <w:rFonts w:hint="eastAsia" w:ascii="方正仿宋_GBK" w:hAnsi="方正仿宋_GBK" w:eastAsia="方正仿宋_GBK" w:cs="方正仿宋_GBK"/>
                <w:kern w:val="2"/>
                <w:sz w:val="30"/>
                <w:szCs w:val="30"/>
                <w:highlight w:val="none"/>
                <w:lang w:eastAsia="zh-CN"/>
              </w:rPr>
              <w:t>公司自筹</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outlineLvl w:val="9"/>
              <w:rPr>
                <w:rFonts w:hint="eastAsia" w:ascii="Times New Roman" w:hAnsi="Times New Roman" w:eastAsia="方正仿宋_GBK" w:cs="Times New Roman"/>
                <w:bCs/>
                <w:color w:val="auto"/>
                <w:sz w:val="32"/>
                <w:szCs w:val="32"/>
                <w:highlight w:val="none"/>
                <w:lang w:val="en-US" w:eastAsia="zh-CN"/>
              </w:rPr>
            </w:pPr>
          </w:p>
        </w:tc>
      </w:tr>
    </w:tbl>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28"/>
          <w:szCs w:val="28"/>
          <w:highlight w:val="none"/>
        </w:rPr>
      </w:pPr>
      <w:r>
        <w:rPr>
          <w:rFonts w:hint="eastAsia" w:ascii="方正黑体_GBK" w:hAnsi="方正黑体_GBK" w:eastAsia="方正黑体_GBK" w:cs="方正黑体_GBK"/>
          <w:color w:val="auto"/>
          <w:sz w:val="32"/>
          <w:szCs w:val="32"/>
          <w:highlight w:val="none"/>
        </w:rPr>
        <w:t>二、承包商资格要求</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（一）基本资格条件</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具有独立承担民事责任的能力；</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具有良好的商业信誉和健全的财务会计制度；</w:t>
      </w:r>
    </w:p>
    <w:p>
      <w:pPr>
        <w:keepNext w:val="0"/>
        <w:keepLines w:val="0"/>
        <w:pageBreakBefore w:val="0"/>
        <w:widowControl/>
        <w:kinsoku w:val="0"/>
        <w:wordWrap/>
        <w:overflowPunct w:val="0"/>
        <w:topLinePunct w:val="0"/>
        <w:autoSpaceDE w:val="0"/>
        <w:autoSpaceDN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具有履行合同所必需的设备和专业技术能力；</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有依法缴纳税收和社会保障资金的良好记录；</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成立三年以上的，在经营活动中没有重大违法记录；</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法律、行政法规规定的其他条件。</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注：1</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6条由承包商自行承诺，详见响应文件格式（四）。</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hint="eastAsia" w:ascii="方正仿宋_GBK" w:hAnsi="方正仿宋_GBK" w:eastAsia="方正仿宋_GBK" w:cs="方正仿宋_GBK"/>
          <w:color w:val="auto"/>
          <w:sz w:val="32"/>
          <w:szCs w:val="32"/>
          <w:highlight w:val="none"/>
          <w:u w:val="single"/>
        </w:rPr>
      </w:pPr>
      <w:r>
        <w:rPr>
          <w:rFonts w:hint="eastAsia" w:ascii="方正楷体_GBK" w:hAnsi="方正楷体_GBK" w:eastAsia="方正楷体_GBK" w:cs="方正楷体_GBK"/>
          <w:color w:val="auto"/>
          <w:sz w:val="32"/>
          <w:szCs w:val="32"/>
          <w:highlight w:val="none"/>
        </w:rPr>
        <w:t>（二）资格条件</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1、竞选人须具备建设行政主管部门颁发的有效的</w:t>
      </w:r>
      <w:r>
        <w:rPr>
          <w:rFonts w:hint="eastAsia" w:ascii="方正仿宋_GBK" w:hAnsi="方正仿宋_GBK" w:eastAsia="方正仿宋_GBK" w:cs="方正仿宋_GBK"/>
          <w:color w:val="000000" w:themeColor="text1"/>
          <w:sz w:val="32"/>
          <w:szCs w:val="32"/>
          <w:highlight w:val="none"/>
          <w:u w:val="none"/>
          <w:lang w:eastAsia="zh-CN"/>
          <w14:textFill>
            <w14:solidFill>
              <w14:schemeClr w14:val="tx1"/>
            </w14:solidFill>
          </w14:textFill>
        </w:rPr>
        <w:t>房屋建筑</w:t>
      </w: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工程监理有效的乙级及以上资质。</w:t>
      </w:r>
    </w:p>
    <w:p>
      <w:pPr>
        <w:keepNext w:val="0"/>
        <w:keepLines w:val="0"/>
        <w:pageBreakBefore w:val="0"/>
        <w:kinsoku w:val="0"/>
        <w:wordWrap/>
        <w:overflowPunct w:val="0"/>
        <w:topLinePunct w:val="0"/>
        <w:autoSpaceDE w:val="0"/>
        <w:autoSpaceDN w:val="0"/>
        <w:bidi w:val="0"/>
        <w:adjustRightInd w:val="0"/>
        <w:snapToGrid w:val="0"/>
        <w:spacing w:line="500" w:lineRule="exact"/>
        <w:ind w:left="2" w:firstLine="704" w:firstLineChars="220"/>
        <w:jc w:val="both"/>
        <w:textAlignment w:val="auto"/>
        <w:rPr>
          <w:rFonts w:ascii="方正仿宋_GBK" w:hAnsi="方正仿宋_GBK" w:eastAsia="方正仿宋_GBK" w:cs="方正仿宋_GBK"/>
          <w:bCs/>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竞选人拟派的</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总</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监理</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工程师（1人）：</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必须已在竞选人本单位注册并应具有</w:t>
      </w:r>
      <w:bookmarkStart w:id="0" w:name="OLE_LINK44"/>
      <w:bookmarkStart w:id="1" w:name="OLE_LINK43"/>
      <w:r>
        <w:rPr>
          <w:rFonts w:hint="eastAsia" w:ascii="方正仿宋_GBK" w:hAnsi="方正仿宋_GBK" w:eastAsia="方正仿宋_GBK" w:cs="方正仿宋_GBK"/>
          <w:color w:val="000000" w:themeColor="text1"/>
          <w:sz w:val="32"/>
          <w:szCs w:val="32"/>
          <w:highlight w:val="none"/>
          <w:u w:val="none"/>
          <w:lang w:eastAsia="zh-CN"/>
          <w14:textFill>
            <w14:solidFill>
              <w14:schemeClr w14:val="tx1"/>
            </w14:solidFill>
          </w14:textFill>
        </w:rPr>
        <w:t>房屋建筑</w:t>
      </w:r>
      <w:r>
        <w:rPr>
          <w:rFonts w:hint="eastAsia" w:ascii="方正仿宋_GBK" w:hAnsi="方正仿宋_GBK" w:eastAsia="方正仿宋_GBK" w:cs="方正仿宋_GBK"/>
          <w:color w:val="000000" w:themeColor="text1"/>
          <w:sz w:val="32"/>
          <w:szCs w:val="32"/>
          <w:highlight w:val="none"/>
          <w:u w:val="none"/>
          <w14:textFill>
            <w14:solidFill>
              <w14:schemeClr w14:val="tx1"/>
            </w14:solidFill>
          </w14:textFill>
        </w:rPr>
        <w:t>工程</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专业注册监理工程师执业资格</w:t>
      </w:r>
      <w:bookmarkEnd w:id="0"/>
      <w:bookmarkEnd w:id="1"/>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，工程类中级及以上技术职称，应为竞选人本单位人员。</w:t>
      </w:r>
      <w:r>
        <w:rPr>
          <w:rFonts w:hint="eastAsia" w:ascii="方正仿宋_GBK" w:hAnsi="方正仿宋_GBK" w:eastAsia="方正仿宋_GBK" w:cs="方正仿宋_GBK"/>
          <w:bCs/>
          <w:color w:val="000000" w:themeColor="text1"/>
          <w:sz w:val="32"/>
          <w:szCs w:val="32"/>
          <w:highlight w:val="none"/>
          <w:lang w:eastAsia="zh-CN"/>
          <w14:textFill>
            <w14:solidFill>
              <w14:schemeClr w14:val="tx1"/>
            </w14:solidFill>
          </w14:textFill>
        </w:rPr>
        <w:t>房屋建筑</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工程</w:t>
      </w:r>
      <w:r>
        <w:rPr>
          <w:rFonts w:hint="default"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专业监理工程师</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（1人）：</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需提供注册监理工程师</w:t>
      </w:r>
      <w:r>
        <w:rPr>
          <w:rFonts w:hint="eastAsia" w:ascii="方正仿宋_GBK" w:hAnsi="方正仿宋_GBK" w:eastAsia="方正仿宋_GBK" w:cs="方正仿宋_GBK"/>
          <w:bCs/>
          <w:color w:val="000000" w:themeColor="text1"/>
          <w:sz w:val="32"/>
          <w:szCs w:val="32"/>
          <w:highlight w:val="none"/>
          <w:lang w:eastAsia="zh-CN"/>
          <w14:textFill>
            <w14:solidFill>
              <w14:schemeClr w14:val="tx1"/>
            </w14:solidFill>
          </w14:textFill>
        </w:rPr>
        <w:t>注册证书</w:t>
      </w:r>
      <w:r>
        <w:rPr>
          <w:rFonts w:hint="default"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或重庆市监理工程师岗位证书</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或重庆市建设工程监理人员职业培训合格证书，并提供</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投标人为其缴纳的202</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5</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12</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月至202</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6</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bCs/>
          <w:color w:val="000000" w:themeColor="text1"/>
          <w:sz w:val="32"/>
          <w:szCs w:val="32"/>
          <w:highlight w:val="none"/>
          <w:lang w:val="en-US" w:eastAsia="zh-CN"/>
          <w14:textFill>
            <w14:solidFill>
              <w14:schemeClr w14:val="tx1"/>
            </w14:solidFill>
          </w14:textFill>
        </w:rPr>
        <w:t>5</w:t>
      </w:r>
      <w:r>
        <w:rPr>
          <w:rFonts w:hint="eastAsia" w:ascii="方正仿宋_GBK" w:hAnsi="方正仿宋_GBK" w:eastAsia="方正仿宋_GBK" w:cs="方正仿宋_GBK"/>
          <w:bCs/>
          <w:color w:val="000000" w:themeColor="text1"/>
          <w:sz w:val="32"/>
          <w:szCs w:val="32"/>
          <w:highlight w:val="none"/>
          <w14:textFill>
            <w14:solidFill>
              <w14:schemeClr w14:val="tx1"/>
            </w14:solidFill>
          </w14:textFill>
        </w:rPr>
        <w:t>月的社保。</w:t>
      </w:r>
    </w:p>
    <w:p>
      <w:pPr>
        <w:keepNext w:val="0"/>
        <w:keepLines w:val="0"/>
        <w:pageBreakBefore w:val="0"/>
        <w:kinsoku w:val="0"/>
        <w:wordWrap/>
        <w:overflowPunct w:val="0"/>
        <w:topLinePunct w:val="0"/>
        <w:autoSpaceDE w:val="0"/>
        <w:autoSpaceDN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注：提供有效的资质证书副本复印件或扫描件并加盖单位公章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三、服务内容及要求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（一）项目概况</w:t>
      </w:r>
    </w:p>
    <w:p>
      <w:pPr>
        <w:pStyle w:val="6"/>
        <w:pageBreakBefore w:val="0"/>
        <w:wordWrap/>
        <w:topLinePunct w:val="0"/>
        <w:bidi w:val="0"/>
        <w:spacing w:line="500" w:lineRule="exact"/>
        <w:textAlignment w:val="auto"/>
        <w:rPr>
          <w:rFonts w:hint="default"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kern w:val="2"/>
          <w:sz w:val="32"/>
          <w:szCs w:val="32"/>
          <w:highlight w:val="none"/>
          <w:lang w:val="en-US" w:eastAsia="zh-CN"/>
        </w:rPr>
        <w:t xml:space="preserve">    </w:t>
      </w:r>
      <w:r>
        <w:rPr>
          <w:rFonts w:hint="eastAsia" w:ascii="方正仿宋_GBK" w:hAnsi="方正仿宋_GBK" w:eastAsia="方正仿宋_GBK" w:cs="方正仿宋_GBK"/>
          <w:color w:val="auto"/>
          <w:kern w:val="2"/>
          <w:sz w:val="32"/>
          <w:szCs w:val="32"/>
          <w:highlight w:val="none"/>
          <w:lang w:val="en-US" w:eastAsia="zh-CN" w:bidi="ar-SA"/>
        </w:rPr>
        <w:t>木洞中坝岛民房加固工程、前期民宿装饰装修及室外景观配套附属工程施工图范围内的全部内容。</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（二）服务内容</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包括但不仅限于本项目施工图及图纸说明、补充说明、招标文件</w:t>
      </w:r>
      <w:r>
        <w:rPr>
          <w:rFonts w:hint="eastAsia" w:ascii="方正仿宋_GBK" w:hAnsi="方正仿宋_GBK" w:eastAsia="方正仿宋_GBK" w:cs="方正仿宋_GBK"/>
          <w:color w:val="auto"/>
          <w:sz w:val="32"/>
          <w:szCs w:val="32"/>
          <w:highlight w:val="none"/>
          <w:lang w:eastAsia="zh-CN"/>
        </w:rPr>
        <w:t>（</w:t>
      </w:r>
      <w:r>
        <w:rPr>
          <w:rFonts w:ascii="方正仿宋_GBK" w:hAnsi="方正仿宋_GBK" w:eastAsia="方正仿宋_GBK" w:cs="方正仿宋_GBK"/>
          <w:color w:val="auto"/>
          <w:sz w:val="32"/>
          <w:szCs w:val="32"/>
          <w:highlight w:val="none"/>
        </w:rPr>
        <w:t>含补遗</w:t>
      </w:r>
      <w:r>
        <w:rPr>
          <w:rFonts w:hint="eastAsia" w:ascii="方正仿宋_GBK" w:hAnsi="方正仿宋_GBK" w:eastAsia="方正仿宋_GBK" w:cs="方正仿宋_GBK"/>
          <w:color w:val="auto"/>
          <w:sz w:val="32"/>
          <w:szCs w:val="32"/>
          <w:highlight w:val="none"/>
          <w:lang w:eastAsia="zh-CN"/>
        </w:rPr>
        <w:t>）</w:t>
      </w:r>
      <w:r>
        <w:rPr>
          <w:rFonts w:ascii="方正仿宋_GBK" w:hAnsi="方正仿宋_GBK" w:eastAsia="方正仿宋_GBK" w:cs="方正仿宋_GBK"/>
          <w:color w:val="auto"/>
          <w:sz w:val="32"/>
          <w:szCs w:val="32"/>
          <w:highlight w:val="none"/>
        </w:rPr>
        <w:t>及工程量</w:t>
      </w:r>
      <w:r>
        <w:rPr>
          <w:rFonts w:hint="eastAsia" w:ascii="方正仿宋_GBK" w:hAnsi="方正仿宋_GBK" w:eastAsia="方正仿宋_GBK" w:cs="方正仿宋_GBK"/>
          <w:color w:val="auto"/>
          <w:sz w:val="32"/>
          <w:szCs w:val="32"/>
          <w:highlight w:val="none"/>
        </w:rPr>
        <w:t>清单范围内的所有工作内容，具体以招标人发布的工程量清单为准。本项目施工准备期、施工期和施工责任缺陷期的项目投资、进度、质量实施有效控制，组织协调，进行工程安全管理、合同管理和信息管理等所有工程监理服务内容，施工阶段及缺陷责任期全过程监理，包括“三控制、三管理、一协调”</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即：</w:t>
      </w:r>
      <w:r>
        <w:rPr>
          <w:rFonts w:ascii="方正仿宋_GBK" w:hAnsi="方正仿宋_GBK" w:eastAsia="方正仿宋_GBK" w:cs="方正仿宋_GBK"/>
          <w:color w:val="auto"/>
          <w:sz w:val="32"/>
          <w:szCs w:val="32"/>
          <w:highlight w:val="none"/>
        </w:rPr>
        <w:t>投资控制、进度控制、质量控制、安全管理、合同管理、信息管理和现场组织协调</w:t>
      </w:r>
      <w:r>
        <w:rPr>
          <w:rFonts w:hint="eastAsia" w:ascii="方正仿宋_GBK" w:hAnsi="方正仿宋_GBK" w:eastAsia="方正仿宋_GBK" w:cs="方正仿宋_GBK"/>
          <w:color w:val="auto"/>
          <w:sz w:val="32"/>
          <w:szCs w:val="32"/>
          <w:highlight w:val="none"/>
        </w:rPr>
        <w:t>。</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（三）服务要求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仿宋_GBK" w:hAnsi="方正仿宋_GBK" w:eastAsia="方正仿宋_GBK" w:cs="方正仿宋_GBK"/>
          <w:color w:val="auto"/>
          <w:sz w:val="32"/>
          <w:szCs w:val="32"/>
          <w:highlight w:val="none"/>
        </w:rPr>
        <w:t>从监理合同签订之日起至缺陷责任期满止。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四、项目商务要求</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（一）服务期限</w:t>
      </w:r>
    </w:p>
    <w:p>
      <w:pPr>
        <w:keepNext w:val="0"/>
        <w:keepLines w:val="0"/>
        <w:pageBreakBefore w:val="0"/>
        <w:wordWrap/>
        <w:topLinePunct w:val="0"/>
        <w:bidi w:val="0"/>
        <w:adjustRightInd w:val="0"/>
        <w:snapToGrid w:val="0"/>
        <w:spacing w:line="500" w:lineRule="exact"/>
        <w:ind w:firstLine="600" w:firstLineChars="200"/>
        <w:jc w:val="both"/>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项目开工之日至质保期满之日止。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（三）付款方式</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木洞中坝岛民房加固工程</w:t>
      </w:r>
      <w:r>
        <w:rPr>
          <w:rFonts w:hint="eastAsia" w:ascii="方正仿宋_GBK" w:hAnsi="方正仿宋_GBK" w:eastAsia="方正仿宋_GBK" w:cs="方正仿宋_GBK"/>
          <w:color w:val="auto"/>
          <w:sz w:val="32"/>
          <w:szCs w:val="32"/>
          <w:highlight w:val="none"/>
          <w:lang w:val="en-US" w:eastAsia="zh-CN"/>
        </w:rPr>
        <w:t>竣工（完工）验收后</w:t>
      </w:r>
      <w:r>
        <w:rPr>
          <w:rFonts w:hint="eastAsia" w:ascii="方正仿宋_GBK" w:hAnsi="方正仿宋_GBK" w:eastAsia="方正仿宋_GBK" w:cs="方正仿宋_GBK"/>
          <w:color w:val="auto"/>
          <w:sz w:val="32"/>
          <w:szCs w:val="32"/>
          <w:highlight w:val="none"/>
        </w:rPr>
        <w:t>支付</w:t>
      </w:r>
      <w:r>
        <w:rPr>
          <w:rFonts w:hint="eastAsia" w:ascii="方正仿宋_GBK" w:hAnsi="方正仿宋_GBK" w:eastAsia="方正仿宋_GBK" w:cs="方正仿宋_GBK"/>
          <w:color w:val="auto"/>
          <w:sz w:val="32"/>
          <w:szCs w:val="32"/>
          <w:highlight w:val="none"/>
          <w:lang w:val="en-US" w:eastAsia="zh-CN"/>
        </w:rPr>
        <w:t>成交价的20%，</w:t>
      </w:r>
      <w:r>
        <w:rPr>
          <w:rFonts w:hint="eastAsia" w:ascii="方正仿宋_GBK" w:hAnsi="方正仿宋_GBK" w:eastAsia="方正仿宋_GBK" w:cs="方正仿宋_GBK"/>
          <w:color w:val="auto"/>
          <w:sz w:val="32"/>
          <w:szCs w:val="32"/>
          <w:highlight w:val="none"/>
        </w:rPr>
        <w:t>木洞中坝岛</w:t>
      </w:r>
      <w:r>
        <w:rPr>
          <w:rFonts w:hint="eastAsia" w:ascii="方正仿宋_GBK" w:hAnsi="方正仿宋_GBK" w:eastAsia="方正仿宋_GBK" w:cs="方正仿宋_GBK"/>
          <w:color w:val="auto"/>
          <w:sz w:val="32"/>
          <w:szCs w:val="32"/>
          <w:highlight w:val="none"/>
          <w:lang w:val="en-US" w:eastAsia="zh-CN"/>
        </w:rPr>
        <w:t>前期民宿装饰装修及室外景观配套附属工程竣工（完工）验收后</w:t>
      </w:r>
      <w:r>
        <w:rPr>
          <w:rFonts w:hint="eastAsia" w:ascii="方正仿宋_GBK" w:hAnsi="方正仿宋_GBK" w:eastAsia="方正仿宋_GBK" w:cs="方正仿宋_GBK"/>
          <w:color w:val="auto"/>
          <w:sz w:val="32"/>
          <w:szCs w:val="32"/>
          <w:highlight w:val="none"/>
        </w:rPr>
        <w:t>支付</w:t>
      </w:r>
      <w:r>
        <w:rPr>
          <w:rFonts w:hint="eastAsia" w:ascii="方正仿宋_GBK" w:hAnsi="方正仿宋_GBK" w:eastAsia="方正仿宋_GBK" w:cs="方正仿宋_GBK"/>
          <w:color w:val="auto"/>
          <w:sz w:val="32"/>
          <w:szCs w:val="32"/>
          <w:highlight w:val="none"/>
          <w:lang w:val="en-US" w:eastAsia="zh-CN"/>
        </w:rPr>
        <w:t>成交价剩余80%</w:t>
      </w: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lang w:eastAsia="zh-CN"/>
        </w:rPr>
        <w:t>同时</w:t>
      </w:r>
      <w:r>
        <w:rPr>
          <w:rFonts w:hint="eastAsia" w:ascii="方正仿宋_GBK" w:hAnsi="方正仿宋_GBK" w:eastAsia="方正仿宋_GBK" w:cs="方正仿宋_GBK"/>
          <w:color w:val="auto"/>
          <w:sz w:val="32"/>
          <w:szCs w:val="32"/>
          <w:highlight w:val="none"/>
        </w:rPr>
        <w:t>监理人应当开具并向委托人提交与付款金额一致的增值税专用发票，否则委托人有权拒绝付款且不视为违约。</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rPr>
        <w:t>（四）其他</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1.成交承包商确定后，由采购人和成交单位按照相关规定和程序办理有关手续，签订合同。</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2.其他未尽事宜由供需双方在采购合同中详细约定。</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3.本项目不允许转包、挂靠。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4.本</w:t>
      </w:r>
      <w:r>
        <w:rPr>
          <w:rFonts w:hint="eastAsia" w:ascii="方正仿宋_GBK" w:hAnsi="方正仿宋_GBK" w:eastAsia="方正仿宋_GBK" w:cs="方正仿宋_GBK"/>
          <w:color w:val="auto"/>
          <w:sz w:val="32"/>
          <w:szCs w:val="32"/>
          <w:highlight w:val="none"/>
        </w:rPr>
        <w:t>项目所涉及需提供的佐证材料和有关复印件，均需加盖公章。</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五、资格审查及评标办法</w:t>
      </w:r>
    </w:p>
    <w:p>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楷体_GBK" w:hAnsi="方正楷体_GBK" w:eastAsia="方正楷体_GBK" w:cs="方正楷体_GBK"/>
          <w:sz w:val="32"/>
          <w:szCs w:val="32"/>
          <w:highlight w:val="none"/>
          <w:lang w:bidi="ar"/>
        </w:rPr>
        <w:t>（一）资格审查</w:t>
      </w:r>
    </w:p>
    <w:p>
      <w:pPr>
        <w:adjustRightInd w:val="0"/>
        <w:snapToGrid w:val="0"/>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bidi="ar"/>
        </w:rPr>
        <w:t>符合“二、承包商资格要求”的所有要求。</w:t>
      </w:r>
    </w:p>
    <w:p>
      <w:pPr>
        <w:numPr>
          <w:ilvl w:val="0"/>
          <w:numId w:val="1"/>
        </w:numPr>
        <w:adjustRightInd w:val="0"/>
        <w:snapToGrid w:val="0"/>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bidi="ar"/>
        </w:rPr>
        <w:t>评审办法</w:t>
      </w:r>
    </w:p>
    <w:p>
      <w:pPr>
        <w:keepNext w:val="0"/>
        <w:keepLines w:val="0"/>
        <w:pageBreakBefore w:val="0"/>
        <w:widowControl w:val="0"/>
        <w:tabs>
          <w:tab w:val="right" w:pos="7666"/>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eastAsia="zh-CN" w:bidi="ar"/>
        </w:rPr>
      </w:pPr>
      <w:r>
        <w:rPr>
          <w:rFonts w:hint="eastAsia" w:ascii="方正仿宋_GBK" w:hAnsi="方正仿宋_GBK" w:eastAsia="方正仿宋_GBK" w:cs="方正仿宋_GBK"/>
          <w:sz w:val="32"/>
          <w:szCs w:val="32"/>
          <w:highlight w:val="none"/>
          <w:lang w:bidi="ar"/>
        </w:rPr>
        <w:t>本项目采用</w:t>
      </w:r>
      <w:r>
        <w:rPr>
          <w:rFonts w:hint="eastAsia" w:ascii="方正仿宋_GBK" w:hAnsi="方正仿宋_GBK" w:eastAsia="方正仿宋_GBK" w:cs="方正仿宋_GBK"/>
          <w:sz w:val="32"/>
          <w:szCs w:val="32"/>
          <w:highlight w:val="none"/>
          <w:u w:val="single"/>
          <w:lang w:eastAsia="zh-CN" w:bidi="ar"/>
        </w:rPr>
        <w:t>综合评估法</w:t>
      </w:r>
      <w:r>
        <w:rPr>
          <w:rFonts w:hint="eastAsia" w:ascii="方正仿宋_GBK" w:hAnsi="方正仿宋_GBK" w:eastAsia="方正仿宋_GBK" w:cs="方正仿宋_GBK"/>
          <w:sz w:val="32"/>
          <w:szCs w:val="32"/>
          <w:highlight w:val="none"/>
          <w:lang w:bidi="ar"/>
        </w:rPr>
        <w:t>评审方法</w:t>
      </w:r>
      <w:r>
        <w:rPr>
          <w:rFonts w:hint="eastAsia" w:ascii="方正仿宋_GBK" w:hAnsi="方正仿宋_GBK" w:eastAsia="方正仿宋_GBK" w:cs="方正仿宋_GBK"/>
          <w:sz w:val="32"/>
          <w:szCs w:val="32"/>
          <w:highlight w:val="none"/>
          <w:lang w:eastAsia="zh-CN" w:bidi="ar"/>
        </w:rPr>
        <w:t>，具体如下：</w:t>
      </w:r>
      <w:r>
        <w:rPr>
          <w:rFonts w:hint="eastAsia" w:ascii="方正仿宋_GBK" w:hAnsi="方正仿宋_GBK" w:eastAsia="方正仿宋_GBK" w:cs="方正仿宋_GBK"/>
          <w:sz w:val="32"/>
          <w:szCs w:val="32"/>
          <w:highlight w:val="none"/>
          <w:lang w:eastAsia="zh-CN" w:bidi="ar"/>
        </w:rPr>
        <w:tab/>
      </w:r>
    </w:p>
    <w:p>
      <w:pPr>
        <w:keepNext w:val="0"/>
        <w:keepLines w:val="0"/>
        <w:pageBreakBefore w:val="0"/>
        <w:widowControl w:val="0"/>
        <w:kinsoku/>
        <w:wordWrap/>
        <w:overflowPunct/>
        <w:topLinePunct w:val="0"/>
        <w:autoSpaceDE/>
        <w:autoSpaceDN/>
        <w:bidi w:val="0"/>
        <w:adjustRightInd w:val="0"/>
        <w:snapToGrid w:val="0"/>
        <w:spacing w:line="560" w:lineRule="exact"/>
        <w:ind w:right="113" w:firstLine="640" w:firstLineChars="200"/>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kern w:val="0"/>
          <w:sz w:val="32"/>
          <w:szCs w:val="32"/>
          <w:highlight w:val="none"/>
          <w:lang w:val="en-US" w:eastAsia="zh-CN"/>
        </w:rPr>
        <w:t>1.</w:t>
      </w:r>
      <w:r>
        <w:rPr>
          <w:rFonts w:hint="eastAsia" w:ascii="方正仿宋_GBK" w:hAnsi="方正仿宋_GBK" w:eastAsia="方正仿宋_GBK" w:cs="方正仿宋_GBK"/>
          <w:color w:val="auto"/>
          <w:kern w:val="0"/>
          <w:sz w:val="32"/>
          <w:szCs w:val="32"/>
          <w:highlight w:val="none"/>
        </w:rPr>
        <w:t xml:space="preserve">分值构成 </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rPr>
        <w:t>总分</w:t>
      </w: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kern w:val="0"/>
          <w:sz w:val="32"/>
          <w:szCs w:val="32"/>
          <w:highlight w:val="none"/>
        </w:rPr>
        <w:t>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技术部分</w:t>
      </w:r>
      <w:r>
        <w:rPr>
          <w:rFonts w:hint="eastAsia" w:ascii="方正仿宋_GBK" w:hAnsi="方正仿宋_GBK" w:eastAsia="方正仿宋_GBK" w:cs="方正仿宋_GBK"/>
          <w:color w:val="auto"/>
          <w:sz w:val="32"/>
          <w:szCs w:val="32"/>
          <w:highlight w:val="none"/>
          <w:lang w:val="en-US" w:eastAsia="zh-CN"/>
        </w:rPr>
        <w:t>70</w:t>
      </w:r>
      <w:r>
        <w:rPr>
          <w:rFonts w:hint="eastAsia" w:ascii="方正仿宋_GBK" w:hAnsi="方正仿宋_GBK" w:eastAsia="方正仿宋_GBK" w:cs="方正仿宋_GBK"/>
          <w:color w:val="auto"/>
          <w:sz w:val="32"/>
          <w:szCs w:val="32"/>
          <w:highlight w:val="none"/>
        </w:rPr>
        <w:t>分；</w:t>
      </w:r>
      <w:r>
        <w:rPr>
          <w:rFonts w:hint="eastAsia" w:ascii="方正仿宋_GBK" w:hAnsi="方正仿宋_GBK" w:eastAsia="方正仿宋_GBK" w:cs="方正仿宋_GBK"/>
          <w:color w:val="auto"/>
          <w:sz w:val="32"/>
          <w:szCs w:val="32"/>
          <w:highlight w:val="none"/>
          <w:lang w:val="en-US" w:eastAsia="zh-CN"/>
        </w:rPr>
        <w:t>比选</w:t>
      </w:r>
      <w:r>
        <w:rPr>
          <w:rFonts w:hint="eastAsia" w:ascii="方正仿宋_GBK" w:hAnsi="方正仿宋_GBK" w:eastAsia="方正仿宋_GBK" w:cs="方正仿宋_GBK"/>
          <w:color w:val="auto"/>
          <w:sz w:val="32"/>
          <w:szCs w:val="32"/>
          <w:highlight w:val="none"/>
        </w:rPr>
        <w:t>报价</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分。</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color w:val="auto"/>
          <w:kern w:val="0"/>
          <w:sz w:val="32"/>
          <w:szCs w:val="32"/>
          <w:highlight w:val="none"/>
          <w:lang w:eastAsia="zh-CN"/>
        </w:rPr>
      </w:pPr>
      <w:r>
        <w:rPr>
          <w:rFonts w:hint="eastAsia" w:ascii="方正仿宋_GBK" w:hAnsi="方正仿宋_GBK" w:eastAsia="方正仿宋_GBK" w:cs="方正仿宋_GBK"/>
          <w:sz w:val="32"/>
          <w:szCs w:val="32"/>
          <w:highlight w:val="none"/>
          <w:lang w:val="en-US" w:eastAsia="zh-CN" w:bidi="ar"/>
        </w:rPr>
        <w:t>2.</w:t>
      </w:r>
      <w:r>
        <w:rPr>
          <w:rFonts w:hint="eastAsia" w:ascii="方正仿宋_GBK" w:hAnsi="方正仿宋_GBK" w:eastAsia="方正仿宋_GBK" w:cs="方正仿宋_GBK"/>
          <w:color w:val="auto"/>
          <w:kern w:val="0"/>
          <w:sz w:val="32"/>
          <w:szCs w:val="32"/>
          <w:highlight w:val="none"/>
          <w:lang w:eastAsia="zh-CN"/>
        </w:rPr>
        <w:t>报价（30分）：有效的比选报价中的最低价为评标基准价，其价格分为满分。其他供应商的价格分统一按照下列公式计算：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color w:val="auto"/>
          <w:kern w:val="0"/>
          <w:sz w:val="32"/>
          <w:szCs w:val="32"/>
          <w:highlight w:val="none"/>
          <w:lang w:eastAsia="zh-CN"/>
        </w:rPr>
      </w:pPr>
      <w:r>
        <w:rPr>
          <w:rFonts w:hint="eastAsia" w:ascii="方正仿宋_GBK" w:hAnsi="方正仿宋_GBK" w:eastAsia="方正仿宋_GBK" w:cs="方正仿宋_GBK"/>
          <w:color w:val="auto"/>
          <w:kern w:val="0"/>
          <w:sz w:val="32"/>
          <w:szCs w:val="32"/>
          <w:highlight w:val="none"/>
          <w:lang w:eastAsia="zh-CN"/>
        </w:rPr>
        <w:t>比选报价得分=（评标基准价/比选报价)×价格权重×100。</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bidi="ar"/>
        </w:rPr>
      </w:pPr>
      <w:r>
        <w:rPr>
          <w:rFonts w:hint="eastAsia" w:ascii="方正仿宋_GBK" w:hAnsi="方正仿宋_GBK" w:eastAsia="方正仿宋_GBK" w:cs="方正仿宋_GBK"/>
          <w:color w:val="auto"/>
          <w:kern w:val="0"/>
          <w:sz w:val="32"/>
          <w:szCs w:val="32"/>
          <w:highlight w:val="none"/>
          <w:lang w:eastAsia="zh-CN"/>
        </w:rPr>
        <w:t>(按四舍五入法保留两位小数)</w:t>
      </w:r>
      <w:r>
        <w:rPr>
          <w:rFonts w:hint="eastAsia" w:ascii="方正仿宋_GBK" w:hAnsi="方正仿宋_GBK" w:eastAsia="方正仿宋_GBK" w:cs="方正仿宋_GBK"/>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000000" w:themeColor="text1"/>
          <w:sz w:val="32"/>
          <w:szCs w:val="32"/>
          <w:highlight w:val="none"/>
          <w:lang w:val="en-US" w:eastAsia="zh-CN" w:bidi="ar"/>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bidi="ar"/>
          <w14:textFill>
            <w14:solidFill>
              <w14:schemeClr w14:val="tx1"/>
            </w14:solidFill>
          </w14:textFill>
        </w:rPr>
        <w:t>3.技术部分（70分）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（1）监理范围、监理内容（7分）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编制要点：监理范围是否满足项目要求、监理内容齐全并符合相关规定：优得7分-6分（不含）；良得6分-4分（不含）；一般得4分-2分（不含）；差得2分-0分。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（2）监理依据、监理工作目标（7分）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编制要点：有明确的监理依据、监理工作目标：优得7分-6分（不含）；良得6分-4分（不含）；一般得4分-2分（不含）；差得2分-0分。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（3）监理机构设置和岗位职责（7分）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编制要点：项目监理机构配置完整，分工明确，项目监理人员岗位职责及制度完整：优得7分-6分（不含）；良得6分-4分（不含）；一般得4分-2分（不含）；差得2分-0分。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（4）监理工作程序、方法和制度（7分）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编制要点：工作程序、方法和制度科学、齐全：优得7分-6分（不含）；良得6分-4分（不含）；一般得4分-2分（不含）；差得2分-0分。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（5）质量、进度、造价、安全、环保监理措施（7分）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编制要点：有明确的控制目标、依据、原则、内容、方法和监控措施：优得7分-6分（不含）；良得6分-4分（不含）；一般得4分-2分（不含）；差得2分-0分。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（6）合同、信息管理方案（7分）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编制要点：合同管理目标、依据、原则、内容、方法和措施合理：优得7分-6分（不含）；良得6分-4分（不含）；一般得4分-2分（不含）；差得2分-0分。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（7）监理组织协调内容及措施（7分）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编制要点：本项目重要工作以及各专业的技术难点和重点措施：优得7分-6分（不含）；良得6分-4分（不含）；一般得4分-2分（不含）；差得2分-0分。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（8）监理工作重点、难点分析（7分）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编制要点：本项目重要工作以及各专业的技术难点和重点措施：优得7分-6分（不含）；良得6分-4分（不含）；一般得4分-2分（不含）；差得2分-0分。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（9）合理化建议（7分）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编制要点：合理化建议科学、可行：优得7分-6分（不含）；良得6分-4分（不含）；一般得4分-2分（不含）；差得2分-0分。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（10）关键部位的旁站监理方案（7分）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编制要点：关键部位的旁站监理方案科学合理：优得7分-6分（不含）；良得6分-4分（不含）；一般得4分-2分（不含）；差得2分-0分。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4.报价评分标准（30分）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rPr>
      </w:pPr>
      <w:bookmarkStart w:id="2" w:name="OLE_LINK1"/>
      <w:r>
        <w:rPr>
          <w:rFonts w:hint="eastAsia" w:ascii="方正仿宋_GBK" w:hAnsi="方正仿宋_GBK" w:eastAsia="方正仿宋_GBK" w:cs="方正仿宋_GBK"/>
          <w:color w:val="auto"/>
          <w:sz w:val="32"/>
          <w:szCs w:val="32"/>
          <w:highlight w:val="none"/>
        </w:rPr>
        <w:t>所有通过初步评审合格的有效比选申请文件的竞标总报价先得基础分值满分</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分，在此基础上，竞标总报价与评审准基价相比，每增加</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rPr>
        <w:t>分，每减少</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0.5</w:t>
      </w:r>
      <w:r>
        <w:rPr>
          <w:rFonts w:hint="eastAsia" w:ascii="方正仿宋_GBK" w:hAnsi="方正仿宋_GBK" w:eastAsia="方正仿宋_GBK" w:cs="方正仿宋_GBK"/>
          <w:color w:val="auto"/>
          <w:sz w:val="32"/>
          <w:szCs w:val="32"/>
          <w:highlight w:val="none"/>
        </w:rPr>
        <w:t>分，扣完为止。按插入法计算得分。未参与评审基准价计算的总报价，仍应参加计算相应分值。</w:t>
      </w:r>
    </w:p>
    <w:bookmarkEnd w:id="2"/>
    <w:p>
      <w:pPr>
        <w:adjustRightInd w:val="0"/>
        <w:snapToGrid w:val="0"/>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bidi="ar"/>
        </w:rPr>
        <w:t>（三）出现下列情况之一的，应当取消其参与承包商比选资格：</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1</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不具备比选文件中规定的资格要求的；</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2</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报价超过比选文件中规定的最高限价的；</w:t>
      </w:r>
    </w:p>
    <w:p>
      <w:pPr>
        <w:adjustRightInd w:val="0"/>
        <w:snapToGrid w:val="0"/>
        <w:spacing w:line="560" w:lineRule="exact"/>
        <w:ind w:firstLine="640" w:firstLineChars="200"/>
        <w:rPr>
          <w:rFonts w:ascii="Times New Roman" w:hAnsi="Times New Roman" w:eastAsia="方正仿宋_GBK"/>
          <w:sz w:val="32"/>
          <w:szCs w:val="32"/>
          <w:highlight w:val="none"/>
        </w:rPr>
      </w:pPr>
      <w:r>
        <w:rPr>
          <w:rFonts w:ascii="Times New Roman" w:hAnsi="Times New Roman" w:eastAsia="方正仿宋_GBK"/>
          <w:sz w:val="32"/>
          <w:szCs w:val="32"/>
          <w:highlight w:val="none"/>
          <w:lang w:bidi="ar"/>
        </w:rPr>
        <w:t>3</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承包商串通投标的；</w:t>
      </w:r>
    </w:p>
    <w:p>
      <w:pPr>
        <w:adjustRightInd w:val="0"/>
        <w:snapToGrid w:val="0"/>
        <w:spacing w:line="56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sz w:val="32"/>
          <w:szCs w:val="32"/>
          <w:highlight w:val="none"/>
          <w:lang w:bidi="ar"/>
        </w:rPr>
        <w:t>4</w:t>
      </w:r>
      <w:r>
        <w:rPr>
          <w:rFonts w:hint="eastAsia" w:ascii="Times New Roman" w:hAnsi="Times New Roman" w:eastAsia="方正仿宋_GBK"/>
          <w:sz w:val="32"/>
          <w:szCs w:val="32"/>
          <w:highlight w:val="none"/>
          <w:lang w:bidi="ar"/>
        </w:rPr>
        <w:t>.</w:t>
      </w:r>
      <w:r>
        <w:rPr>
          <w:rFonts w:ascii="Times New Roman" w:hAnsi="Times New Roman" w:eastAsia="方正仿宋_GBK"/>
          <w:sz w:val="32"/>
          <w:szCs w:val="32"/>
          <w:highlight w:val="none"/>
          <w:lang w:bidi="ar"/>
        </w:rPr>
        <w:t>法律、法规规定的其他无效情形。</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snapToGrid w:val="0"/>
          <w:color w:val="auto"/>
          <w:kern w:val="0"/>
          <w:sz w:val="32"/>
          <w:szCs w:val="32"/>
          <w:highlight w:val="none"/>
        </w:rPr>
        <w:t>六</w:t>
      </w:r>
      <w:r>
        <w:rPr>
          <w:rFonts w:hint="eastAsia" w:ascii="方正黑体_GBK" w:hAnsi="方正黑体_GBK" w:eastAsia="方正黑体_GBK" w:cs="方正黑体_GBK"/>
          <w:color w:val="auto"/>
          <w:sz w:val="32"/>
          <w:szCs w:val="32"/>
          <w:highlight w:val="none"/>
        </w:rPr>
        <w:t>、联系方式</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采购人：重庆巴洲文化旅游产业集团有限公司</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联系人：</w:t>
      </w:r>
      <w:r>
        <w:rPr>
          <w:rFonts w:hint="eastAsia" w:ascii="方正仿宋_GBK" w:hAnsi="方正仿宋_GBK" w:eastAsia="方正仿宋_GBK" w:cs="方正仿宋_GBK"/>
          <w:color w:val="auto"/>
          <w:sz w:val="32"/>
          <w:szCs w:val="32"/>
          <w:highlight w:val="none"/>
          <w:lang w:eastAsia="zh-CN"/>
        </w:rPr>
        <w:t>晏老师</w:t>
      </w:r>
    </w:p>
    <w:p>
      <w:pPr>
        <w:keepNext w:val="0"/>
        <w:keepLines w:val="0"/>
        <w:pageBreakBefore w:val="0"/>
        <w:wordWrap/>
        <w:topLinePunct w:val="0"/>
        <w:bidi w:val="0"/>
        <w:adjustRightInd w:val="0"/>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电  话：</w:t>
      </w:r>
      <w:r>
        <w:rPr>
          <w:rFonts w:hint="eastAsia" w:ascii="方正仿宋_GBK" w:hAnsi="方正仿宋_GBK" w:eastAsia="方正仿宋_GBK" w:cs="方正仿宋_GBK"/>
          <w:color w:val="auto"/>
          <w:sz w:val="32"/>
          <w:szCs w:val="32"/>
          <w:highlight w:val="none"/>
          <w:lang w:val="en-US" w:eastAsia="zh-CN"/>
        </w:rPr>
        <w:t>15310207730</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hint="eastAsia" w:ascii="方正仿宋_GBK" w:hAnsi="方正仿宋_GBK" w:eastAsia="方正仿宋_GBK" w:cs="方正仿宋_GBK"/>
          <w:color w:val="auto"/>
          <w:sz w:val="32"/>
          <w:szCs w:val="32"/>
          <w:highlight w:val="none"/>
        </w:rPr>
        <w:t>地  址：</w:t>
      </w:r>
      <w:r>
        <w:rPr>
          <w:rFonts w:hint="eastAsia" w:ascii="Times New Roman" w:hAnsi="Times New Roman" w:eastAsia="方正仿宋_GBK" w:cs="Times New Roman"/>
          <w:color w:val="auto"/>
          <w:sz w:val="32"/>
          <w:szCs w:val="32"/>
          <w:highlight w:val="none"/>
        </w:rPr>
        <w:t>巴南区巴滨路6号12幢（巴洲·荟创中心）4楼</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snapToGrid w:val="0"/>
          <w:color w:val="auto"/>
          <w:kern w:val="0"/>
          <w:sz w:val="32"/>
          <w:szCs w:val="32"/>
          <w:highlight w:val="none"/>
        </w:rPr>
        <w:t>七、承包商提交响应文件</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楷体_GBK" w:hAnsi="方正楷体_GBK" w:eastAsia="方正楷体_GBK" w:cs="方正楷体_GBK"/>
          <w:color w:val="auto"/>
          <w:sz w:val="32"/>
          <w:szCs w:val="32"/>
          <w:highlight w:val="none"/>
        </w:rPr>
        <w:t>（一）承包商提供的响应文件需装入大袋中密封并加盖公章，并在封套上写明如下内容</w:t>
      </w:r>
      <w:r>
        <w:rPr>
          <w:rFonts w:hint="eastAsia" w:ascii="方正仿宋_GBK" w:hAnsi="方正仿宋_GBK" w:eastAsia="方正仿宋_GBK" w:cs="方正仿宋_GBK"/>
          <w:color w:val="auto"/>
          <w:sz w:val="32"/>
          <w:szCs w:val="32"/>
          <w:highlight w:val="none"/>
        </w:rPr>
        <w:t>：</w:t>
      </w:r>
    </w:p>
    <w:p>
      <w:pPr>
        <w:keepNext w:val="0"/>
        <w:keepLines w:val="0"/>
        <w:pageBreakBefore w:val="0"/>
        <w:wordWrap/>
        <w:topLinePunct w:val="0"/>
        <w:bidi w:val="0"/>
        <w:adjustRightInd w:val="0"/>
        <w:snapToGrid w:val="0"/>
        <w:spacing w:line="500" w:lineRule="exact"/>
        <w:ind w:firstLine="640" w:firstLineChars="200"/>
        <w:jc w:val="both"/>
        <w:textAlignment w:val="auto"/>
        <w:rPr>
          <w:rFonts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 xml:space="preserve">比选人名称：                         </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仿宋_GBK" w:hAnsi="方正仿宋_GBK" w:eastAsia="方正仿宋_GBK" w:cs="方正仿宋_GBK"/>
          <w:color w:val="auto"/>
          <w:kern w:val="0"/>
          <w:sz w:val="24"/>
          <w:szCs w:val="32"/>
          <w:highlight w:val="none"/>
        </w:rPr>
      </w:pPr>
      <w:r>
        <w:rPr>
          <w:rFonts w:hint="eastAsia" w:ascii="方正仿宋_GBK" w:hAnsi="方正仿宋_GBK" w:eastAsia="方正仿宋_GBK" w:cs="方正仿宋_GBK"/>
          <w:color w:val="auto"/>
          <w:sz w:val="32"/>
          <w:szCs w:val="32"/>
          <w:highlight w:val="none"/>
        </w:rPr>
        <w:t xml:space="preserve">比选申请人名称：   （全称并加盖单位法人章） </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（项目名称）比选响应文件</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仿宋_GBK" w:cs="Times New Roman"/>
          <w:color w:val="auto"/>
          <w:sz w:val="32"/>
          <w:szCs w:val="32"/>
          <w:highlight w:val="none"/>
        </w:rPr>
        <w:t>在</w:t>
      </w:r>
      <w:r>
        <w:rPr>
          <w:rFonts w:hint="eastAsia"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u w:val="single"/>
          <w:lang w:val="en-US" w:eastAsia="zh-CN"/>
        </w:rPr>
        <w:t>20</w:t>
      </w:r>
      <w:r>
        <w:rPr>
          <w:rFonts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u w:val="single"/>
          <w:lang w:val="en-US" w:eastAsia="zh-CN"/>
        </w:rPr>
        <w:t>9</w:t>
      </w:r>
      <w:r>
        <w:rPr>
          <w:rFonts w:ascii="Times New Roman" w:hAnsi="Times New Roman" w:eastAsia="方正仿宋_GBK" w:cs="Times New Roman"/>
          <w:color w:val="auto"/>
          <w:sz w:val="32"/>
          <w:szCs w:val="32"/>
          <w:highlight w:val="none"/>
        </w:rPr>
        <w:t>时</w:t>
      </w:r>
      <w:r>
        <w:rPr>
          <w:rFonts w:hint="eastAsia" w:ascii="Times New Roman" w:hAnsi="Times New Roman" w:eastAsia="方正仿宋_GBK" w:cs="Times New Roman"/>
          <w:color w:val="auto"/>
          <w:sz w:val="32"/>
          <w:szCs w:val="32"/>
          <w:highlight w:val="none"/>
          <w:u w:val="single"/>
          <w:lang w:val="en-US" w:eastAsia="zh-CN"/>
        </w:rPr>
        <w:t>30</w:t>
      </w:r>
      <w:r>
        <w:rPr>
          <w:rFonts w:ascii="Times New Roman" w:hAnsi="Times New Roman" w:eastAsia="方正仿宋_GBK" w:cs="Times New Roman"/>
          <w:color w:val="auto"/>
          <w:sz w:val="32"/>
          <w:szCs w:val="32"/>
          <w:highlight w:val="none"/>
        </w:rPr>
        <w:t>分（开标时间）前不得开启</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楷体_GBK" w:cs="Times New Roman"/>
          <w:color w:val="auto"/>
          <w:sz w:val="32"/>
          <w:szCs w:val="32"/>
          <w:highlight w:val="none"/>
        </w:rPr>
        <w:t>（二）比选响应文件递交的时间为</w:t>
      </w:r>
      <w:r>
        <w:rPr>
          <w:rFonts w:ascii="Times New Roman" w:hAnsi="Times New Roman" w:eastAsia="方正仿宋_GBK" w:cs="Times New Roman"/>
          <w:color w:val="auto"/>
          <w:sz w:val="32"/>
          <w:szCs w:val="32"/>
          <w:highlight w:val="none"/>
        </w:rPr>
        <w:t>：比选当日现场递交。</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Times New Roman" w:hAnsi="Times New Roman" w:eastAsia="方正仿宋_GBK" w:cs="Times New Roman"/>
          <w:color w:val="auto"/>
          <w:kern w:val="0"/>
          <w:sz w:val="24"/>
          <w:szCs w:val="32"/>
          <w:highlight w:val="none"/>
        </w:rPr>
      </w:pPr>
      <w:r>
        <w:rPr>
          <w:rFonts w:ascii="Times New Roman" w:hAnsi="Times New Roman" w:eastAsia="方正楷体_GBK" w:cs="Times New Roman"/>
          <w:color w:val="auto"/>
          <w:sz w:val="32"/>
          <w:szCs w:val="32"/>
          <w:highlight w:val="none"/>
        </w:rPr>
        <w:t>（三）比选和开标地点</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巴南区巴滨路6号12幢（巴洲·荟创中心）4楼</w:t>
      </w:r>
    </w:p>
    <w:p>
      <w:pPr>
        <w:keepNext w:val="0"/>
        <w:keepLines w:val="0"/>
        <w:pageBreakBefore w:val="0"/>
        <w:wordWrap/>
        <w:topLinePunct w:val="0"/>
        <w:bidi w:val="0"/>
        <w:adjustRightInd w:val="0"/>
        <w:snapToGrid w:val="0"/>
        <w:spacing w:line="500" w:lineRule="exact"/>
        <w:jc w:val="both"/>
        <w:textAlignment w:val="auto"/>
        <w:rPr>
          <w:rFonts w:ascii="方正仿宋_GBK" w:hAns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 xml:space="preserve">    </w:t>
      </w:r>
      <w:r>
        <w:rPr>
          <w:rFonts w:ascii="Times New Roman" w:hAnsi="Times New Roman" w:eastAsia="方正楷体_GBK" w:cs="Times New Roman"/>
          <w:color w:val="auto"/>
          <w:sz w:val="32"/>
          <w:szCs w:val="32"/>
          <w:highlight w:val="none"/>
        </w:rPr>
        <w:t>（四）开标时间</w:t>
      </w:r>
      <w:r>
        <w:rPr>
          <w:rFonts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7</w:t>
      </w:r>
      <w:r>
        <w:rPr>
          <w:rFonts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u w:val="single"/>
          <w:lang w:val="en-US" w:eastAsia="zh-CN"/>
        </w:rPr>
        <w:t>20</w:t>
      </w:r>
      <w:bookmarkStart w:id="3" w:name="_GoBack"/>
      <w:bookmarkEnd w:id="3"/>
      <w:r>
        <w:rPr>
          <w:rFonts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u w:val="single"/>
          <w:lang w:val="en-US" w:eastAsia="zh-CN"/>
        </w:rPr>
        <w:t>9</w:t>
      </w:r>
      <w:r>
        <w:rPr>
          <w:rFonts w:ascii="Times New Roman" w:hAnsi="Times New Roman" w:eastAsia="方正仿宋_GBK" w:cs="Times New Roman"/>
          <w:color w:val="auto"/>
          <w:sz w:val="32"/>
          <w:szCs w:val="32"/>
          <w:highlight w:val="none"/>
        </w:rPr>
        <w:t>时</w:t>
      </w:r>
      <w:r>
        <w:rPr>
          <w:rFonts w:hint="eastAsia" w:ascii="Times New Roman" w:hAnsi="Times New Roman" w:eastAsia="方正仿宋_GBK" w:cs="Times New Roman"/>
          <w:color w:val="auto"/>
          <w:sz w:val="32"/>
          <w:szCs w:val="32"/>
          <w:highlight w:val="none"/>
          <w:u w:val="single"/>
          <w:lang w:val="en-US" w:eastAsia="zh-CN"/>
        </w:rPr>
        <w:t>30</w:t>
      </w:r>
      <w:r>
        <w:rPr>
          <w:rFonts w:ascii="Times New Roman" w:hAnsi="Times New Roman" w:eastAsia="方正仿宋_GBK" w:cs="Times New Roman"/>
          <w:color w:val="auto"/>
          <w:sz w:val="32"/>
          <w:szCs w:val="32"/>
          <w:highlight w:val="none"/>
        </w:rPr>
        <w:t>分（北京时间）</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（五）逾期送达或者不按照比选文件要求密封的申请文件，应当拒收。</w:t>
      </w:r>
    </w:p>
    <w:p>
      <w:pPr>
        <w:keepNext w:val="0"/>
        <w:keepLines w:val="0"/>
        <w:pageBreakBefore w:val="0"/>
        <w:widowControl/>
        <w:wordWrap/>
        <w:topLinePunct w:val="0"/>
        <w:bidi w:val="0"/>
        <w:adjustRightInd w:val="0"/>
        <w:snapToGrid w:val="0"/>
        <w:spacing w:after="0" w:line="500" w:lineRule="exact"/>
        <w:ind w:firstLine="640" w:firstLineChars="200"/>
        <w:jc w:val="both"/>
        <w:textAlignment w:val="auto"/>
        <w:rPr>
          <w:rFonts w:ascii="方正黑体_GBK" w:hAnsi="方正黑体_GBK" w:eastAsia="方正黑体_GBK" w:cs="方正黑体_GBK"/>
          <w:color w:val="auto"/>
          <w:kern w:val="0"/>
          <w:sz w:val="32"/>
          <w:szCs w:val="32"/>
          <w:highlight w:val="none"/>
        </w:rPr>
      </w:pPr>
      <w:r>
        <w:rPr>
          <w:rFonts w:hint="eastAsia" w:ascii="方正黑体_GBK" w:hAnsi="方正黑体_GBK" w:eastAsia="方正黑体_GBK" w:cs="方正黑体_GBK"/>
          <w:color w:val="auto"/>
          <w:kern w:val="0"/>
          <w:sz w:val="32"/>
          <w:szCs w:val="32"/>
          <w:highlight w:val="none"/>
        </w:rPr>
        <w:t>八、比选程序</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（一）评审人员和监督人员签到。</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（二）现场收取投标文件（密封袋形式）。</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（三）承包商法定代表人或授权人签到。</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（四）对投标文件密封情况进行检查。</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（五）对承包商法定代表人或授权人进行身份确认（核验身份证原件和代理人授权委托书、养老保险证明材料原件），若经核实上述材料与实际不符的，不得参与比选。</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（六）承包商确认报价并签字。</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（七）对承包商提供的比选文件进行资格审查和符合性审查。</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（八）报告评审结果。</w:t>
      </w:r>
    </w:p>
    <w:p>
      <w:pPr>
        <w:keepNext w:val="0"/>
        <w:keepLines w:val="0"/>
        <w:pageBreakBefore w:val="0"/>
        <w:wordWrap/>
        <w:topLinePunct w:val="0"/>
        <w:bidi w:val="0"/>
        <w:adjustRightInd w:val="0"/>
        <w:snapToGrid w:val="0"/>
        <w:spacing w:after="0" w:line="500" w:lineRule="exact"/>
        <w:ind w:firstLine="640" w:firstLineChars="200"/>
        <w:jc w:val="both"/>
        <w:textAlignment w:val="auto"/>
        <w:rPr>
          <w:rFonts w:ascii="方正楷体_GBK" w:hAnsi="方正楷体_GBK" w:eastAsia="方正楷体_GBK" w:cs="方正楷体_GBK"/>
          <w:color w:val="auto"/>
          <w:kern w:val="0"/>
          <w:sz w:val="24"/>
          <w:szCs w:val="32"/>
          <w:highlight w:val="none"/>
        </w:rPr>
      </w:pPr>
      <w:r>
        <w:rPr>
          <w:rFonts w:hint="eastAsia" w:ascii="方正楷体_GBK" w:hAnsi="方正楷体_GBK" w:eastAsia="方正楷体_GBK" w:cs="方正楷体_GBK"/>
          <w:color w:val="auto"/>
          <w:sz w:val="32"/>
          <w:szCs w:val="32"/>
          <w:highlight w:val="none"/>
        </w:rPr>
        <w:t>（九）评审结束。</w:t>
      </w:r>
    </w:p>
    <w:p>
      <w:pPr>
        <w:adjustRightInd w:val="0"/>
        <w:snapToGrid w:val="0"/>
        <w:spacing w:line="560" w:lineRule="exact"/>
        <w:ind w:firstLine="640" w:firstLineChars="200"/>
        <w:jc w:val="both"/>
        <w:rPr>
          <w:rFonts w:ascii="方正仿宋_GBK" w:hAnsi="方正仿宋_GBK" w:eastAsia="方正仿宋_GBK" w:cs="方正仿宋_GBK"/>
          <w:color w:val="auto"/>
          <w:sz w:val="32"/>
          <w:szCs w:val="32"/>
          <w:highlight w:val="none"/>
        </w:rPr>
      </w:pPr>
    </w:p>
    <w:p>
      <w:pPr>
        <w:spacing w:after="0"/>
        <w:jc w:val="both"/>
        <w:rPr>
          <w:rFonts w:ascii="Calibri" w:hAnsi="Calibri" w:eastAsia="宋体" w:cs="Times New Roman"/>
          <w:color w:val="auto"/>
          <w:sz w:val="21"/>
          <w:highlight w:val="none"/>
        </w:rPr>
      </w:pPr>
    </w:p>
    <w:p>
      <w:pPr>
        <w:spacing w:after="0" w:line="560" w:lineRule="exact"/>
        <w:rPr>
          <w:rFonts w:ascii="方正黑体_GBK" w:hAnsi="方正黑体_GBK" w:eastAsia="方正黑体_GBK" w:cs="方正黑体_GBK"/>
          <w:color w:val="auto"/>
          <w:sz w:val="32"/>
          <w:szCs w:val="32"/>
          <w:highlight w:val="none"/>
        </w:rPr>
      </w:pPr>
    </w:p>
    <w:p>
      <w:pPr>
        <w:pStyle w:val="6"/>
        <w:rPr>
          <w:rFonts w:ascii="方正黑体_GBK" w:hAnsi="方正黑体_GBK" w:eastAsia="方正黑体_GBK" w:cs="方正黑体_GBK"/>
          <w:color w:val="auto"/>
          <w:sz w:val="32"/>
          <w:szCs w:val="32"/>
          <w:highlight w:val="none"/>
        </w:rPr>
      </w:pPr>
    </w:p>
    <w:p>
      <w:pPr>
        <w:rPr>
          <w:rFonts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spacing w:after="0" w:line="560" w:lineRule="exact"/>
        <w:rPr>
          <w:rFonts w:hint="eastAsia" w:ascii="方正黑体_GBK" w:hAnsi="方正黑体_GBK" w:eastAsia="方正黑体_GBK" w:cs="方正黑体_GBK"/>
          <w:color w:val="auto"/>
          <w:sz w:val="32"/>
          <w:szCs w:val="32"/>
          <w:highlight w:val="none"/>
        </w:rPr>
      </w:pPr>
    </w:p>
    <w:p>
      <w:pP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br w:type="page"/>
      </w:r>
    </w:p>
    <w:p>
      <w:pPr>
        <w:spacing w:after="0" w:line="560" w:lineRule="exact"/>
        <w:rPr>
          <w:rFonts w:ascii="Calibri" w:hAnsi="Calibri" w:eastAsia="方正仿宋_GBK" w:cs="Times New Roman"/>
          <w:color w:val="auto"/>
          <w:sz w:val="28"/>
          <w:szCs w:val="28"/>
          <w:highlight w:val="none"/>
        </w:rPr>
      </w:pPr>
      <w:r>
        <w:rPr>
          <w:rFonts w:hint="eastAsia" w:ascii="方正黑体_GBK" w:hAnsi="方正黑体_GBK" w:eastAsia="方正黑体_GBK" w:cs="方正黑体_GBK"/>
          <w:color w:val="auto"/>
          <w:sz w:val="32"/>
          <w:szCs w:val="32"/>
          <w:highlight w:val="none"/>
        </w:rPr>
        <w:t>附件</w:t>
      </w:r>
      <w:r>
        <w:rPr>
          <w:rFonts w:ascii="Calibri" w:hAnsi="Calibri" w:eastAsia="方正仿宋_GBK" w:cs="Times New Roman"/>
          <w:color w:val="auto"/>
          <w:sz w:val="28"/>
          <w:szCs w:val="28"/>
          <w:highlight w:val="none"/>
        </w:rPr>
        <w:t xml:space="preserve">                    </w:t>
      </w:r>
    </w:p>
    <w:p>
      <w:pPr>
        <w:spacing w:after="0" w:line="560" w:lineRule="exact"/>
        <w:jc w:val="center"/>
        <w:rPr>
          <w:rFonts w:ascii="方正小标宋_GBK" w:hAnsi="方正小标宋_GBK" w:eastAsia="方正小标宋_GBK" w:cs="方正小标宋_GBK"/>
          <w:bCs/>
          <w:color w:val="auto"/>
          <w:sz w:val="44"/>
          <w:szCs w:val="44"/>
          <w:highlight w:val="none"/>
        </w:rPr>
      </w:pPr>
    </w:p>
    <w:p>
      <w:pPr>
        <w:spacing w:after="0" w:line="560" w:lineRule="exact"/>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响应文件（格式）</w:t>
      </w:r>
    </w:p>
    <w:p>
      <w:pPr>
        <w:spacing w:after="0"/>
        <w:jc w:val="both"/>
        <w:rPr>
          <w:rFonts w:ascii="Calibri" w:hAnsi="方正仿宋_GBK" w:eastAsia="方正仿宋_GBK" w:cs="方正仿宋_GBK"/>
          <w:color w:val="auto"/>
          <w:sz w:val="28"/>
          <w:szCs w:val="28"/>
          <w:highlight w:val="none"/>
        </w:rPr>
      </w:pPr>
    </w:p>
    <w:p>
      <w:pPr>
        <w:spacing w:after="0"/>
        <w:ind w:left="2238" w:leftChars="290" w:hanging="1600" w:hangingChars="500"/>
        <w:jc w:val="both"/>
        <w:rPr>
          <w:rFonts w:hint="eastAsia" w:ascii="Calibri" w:hAnsi="Calibri" w:eastAsia="方正仿宋_GBK" w:cs="Times New Roman"/>
          <w:bCs/>
          <w:color w:val="auto"/>
          <w:sz w:val="32"/>
          <w:szCs w:val="32"/>
          <w:highlight w:val="none"/>
          <w:lang w:val="en-US" w:eastAsia="zh-CN"/>
        </w:rPr>
      </w:pPr>
      <w:r>
        <w:rPr>
          <w:rFonts w:hint="eastAsia" w:ascii="Calibri" w:hAnsi="方正仿宋_GBK" w:eastAsia="方正仿宋_GBK" w:cs="方正仿宋_GBK"/>
          <w:color w:val="auto"/>
          <w:sz w:val="32"/>
          <w:szCs w:val="32"/>
          <w:highlight w:val="none"/>
        </w:rPr>
        <w:t>项目名称：木洞中坝岛民房加固工程、前期民宿装饰装修及室外景观配套附属工程监理项目</w:t>
      </w:r>
    </w:p>
    <w:p>
      <w:pPr>
        <w:tabs>
          <w:tab w:val="left" w:pos="3600"/>
          <w:tab w:val="left" w:pos="4480"/>
          <w:tab w:val="left" w:pos="5360"/>
        </w:tabs>
        <w:autoSpaceDE w:val="0"/>
        <w:autoSpaceDN w:val="0"/>
        <w:adjustRightInd w:val="0"/>
        <w:snapToGrid w:val="0"/>
        <w:spacing w:after="0" w:line="360" w:lineRule="auto"/>
        <w:ind w:right="-350" w:rightChars="-159"/>
        <w:rPr>
          <w:rFonts w:ascii="Calibri" w:hAnsi="Calibri" w:eastAsia="方正仿宋_GBK" w:cs="Times New Roman"/>
          <w:color w:val="auto"/>
          <w:kern w:val="0"/>
          <w:sz w:val="28"/>
          <w:szCs w:val="28"/>
          <w:highlight w:val="none"/>
        </w:rPr>
      </w:pPr>
    </w:p>
    <w:p>
      <w:pPr>
        <w:spacing w:line="376" w:lineRule="auto"/>
        <w:jc w:val="both"/>
        <w:outlineLvl w:val="3"/>
        <w:rPr>
          <w:rFonts w:ascii="Arial" w:hAnsi="Arial" w:eastAsia="方正仿宋_GBK" w:cs="Arial"/>
          <w:color w:val="auto"/>
          <w:kern w:val="0"/>
          <w:sz w:val="28"/>
          <w:szCs w:val="28"/>
          <w:highlight w:val="none"/>
        </w:rPr>
      </w:pPr>
    </w:p>
    <w:p>
      <w:pPr>
        <w:jc w:val="both"/>
        <w:rPr>
          <w:rFonts w:ascii="Calibri" w:hAnsi="Calibri" w:eastAsia="宋体" w:cs="Times New Roman"/>
          <w:color w:val="auto"/>
          <w:sz w:val="21"/>
          <w:highlight w:val="none"/>
        </w:rPr>
      </w:pPr>
    </w:p>
    <w:p>
      <w:pPr>
        <w:jc w:val="both"/>
        <w:rPr>
          <w:rFonts w:ascii="Calibri" w:hAnsi="Calibri" w:eastAsia="宋体" w:cs="Times New Roman"/>
          <w:color w:val="auto"/>
          <w:sz w:val="21"/>
          <w:highlight w:val="none"/>
        </w:rPr>
      </w:pPr>
    </w:p>
    <w:p>
      <w:pPr>
        <w:tabs>
          <w:tab w:val="left" w:pos="3600"/>
          <w:tab w:val="left" w:pos="4480"/>
          <w:tab w:val="left" w:pos="5360"/>
        </w:tabs>
        <w:autoSpaceDE w:val="0"/>
        <w:autoSpaceDN w:val="0"/>
        <w:adjustRightInd w:val="0"/>
        <w:snapToGrid w:val="0"/>
        <w:spacing w:after="0" w:line="360" w:lineRule="auto"/>
        <w:ind w:right="-350" w:rightChars="-159"/>
        <w:rPr>
          <w:rFonts w:ascii="Calibri" w:hAnsi="Calibri" w:eastAsia="方正小标宋_GBK" w:cs="Times New Roman"/>
          <w:color w:val="auto"/>
          <w:kern w:val="0"/>
          <w:sz w:val="44"/>
          <w:szCs w:val="44"/>
          <w:highlight w:val="none"/>
        </w:rPr>
      </w:pPr>
    </w:p>
    <w:p>
      <w:pPr>
        <w:spacing w:after="0" w:line="560" w:lineRule="exact"/>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响</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应</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文</w:t>
      </w:r>
      <w:r>
        <w:rPr>
          <w:rFonts w:ascii="方正小标宋_GBK" w:hAnsi="方正小标宋_GBK" w:eastAsia="方正小标宋_GBK" w:cs="方正小标宋_GBK"/>
          <w:bCs/>
          <w:color w:val="auto"/>
          <w:sz w:val="44"/>
          <w:szCs w:val="44"/>
          <w:highlight w:val="none"/>
        </w:rPr>
        <w:t xml:space="preserve"> </w:t>
      </w:r>
      <w:r>
        <w:rPr>
          <w:rFonts w:hint="eastAsia" w:ascii="方正小标宋_GBK" w:hAnsi="方正小标宋_GBK" w:eastAsia="方正小标宋_GBK" w:cs="方正小标宋_GBK"/>
          <w:bCs/>
          <w:color w:val="auto"/>
          <w:sz w:val="44"/>
          <w:szCs w:val="44"/>
          <w:highlight w:val="none"/>
        </w:rPr>
        <w:t>件</w:t>
      </w:r>
    </w:p>
    <w:p>
      <w:pPr>
        <w:autoSpaceDE w:val="0"/>
        <w:autoSpaceDN w:val="0"/>
        <w:adjustRightInd w:val="0"/>
        <w:snapToGrid w:val="0"/>
        <w:spacing w:after="0" w:line="360" w:lineRule="auto"/>
        <w:ind w:right="-350" w:rightChars="-159"/>
        <w:rPr>
          <w:rFonts w:ascii="Calibri" w:hAnsi="Calibri" w:eastAsia="方正仿宋_GBK" w:cs="Times New Roman"/>
          <w:color w:val="auto"/>
          <w:kern w:val="0"/>
          <w:sz w:val="28"/>
          <w:szCs w:val="28"/>
          <w:highlight w:val="none"/>
        </w:rPr>
      </w:pPr>
    </w:p>
    <w:p>
      <w:pPr>
        <w:autoSpaceDE w:val="0"/>
        <w:autoSpaceDN w:val="0"/>
        <w:adjustRightInd w:val="0"/>
        <w:snapToGrid w:val="0"/>
        <w:spacing w:after="0" w:line="360" w:lineRule="auto"/>
        <w:ind w:left="-297" w:leftChars="-135" w:right="-350" w:rightChars="-159" w:firstLine="492" w:firstLineChars="176"/>
        <w:rPr>
          <w:rFonts w:ascii="Calibri" w:hAnsi="Calibri" w:eastAsia="方正仿宋_GBK" w:cs="Times New Roman"/>
          <w:b/>
          <w:color w:val="auto"/>
          <w:kern w:val="0"/>
          <w:sz w:val="28"/>
          <w:szCs w:val="28"/>
          <w:highlight w:val="none"/>
        </w:rPr>
      </w:pPr>
      <w:r>
        <w:rPr>
          <w:rFonts w:ascii="Calibri" w:hAnsi="Calibri" w:eastAsia="方正仿宋_GBK" w:cs="Times New Roman"/>
          <w:color w:val="auto"/>
          <w:kern w:val="0"/>
          <w:sz w:val="28"/>
          <w:szCs w:val="28"/>
          <w:highlight w:val="none"/>
        </w:rPr>
        <w:t xml:space="preserve"> </w:t>
      </w:r>
      <w:r>
        <w:rPr>
          <w:rFonts w:ascii="Calibri" w:hAnsi="Calibri" w:eastAsia="方正仿宋_GBK" w:cs="Times New Roman"/>
          <w:b/>
          <w:color w:val="auto"/>
          <w:kern w:val="0"/>
          <w:sz w:val="28"/>
          <w:szCs w:val="28"/>
          <w:highlight w:val="none"/>
        </w:rPr>
        <w:t xml:space="preserve"> </w:t>
      </w:r>
    </w:p>
    <w:p>
      <w:pPr>
        <w:autoSpaceDE w:val="0"/>
        <w:autoSpaceDN w:val="0"/>
        <w:adjustRightInd w:val="0"/>
        <w:snapToGrid w:val="0"/>
        <w:spacing w:after="0" w:line="360" w:lineRule="auto"/>
        <w:ind w:left="-297" w:leftChars="-135" w:right="-350" w:rightChars="-159" w:firstLine="495" w:firstLineChars="176"/>
        <w:rPr>
          <w:rFonts w:ascii="Calibri" w:hAnsi="Calibri" w:eastAsia="方正仿宋_GBK" w:cs="Times New Roman"/>
          <w:b/>
          <w:color w:val="auto"/>
          <w:kern w:val="0"/>
          <w:sz w:val="28"/>
          <w:szCs w:val="28"/>
          <w:highlight w:val="none"/>
        </w:rPr>
      </w:pPr>
    </w:p>
    <w:p>
      <w:pPr>
        <w:autoSpaceDE w:val="0"/>
        <w:autoSpaceDN w:val="0"/>
        <w:adjustRightInd w:val="0"/>
        <w:snapToGrid w:val="0"/>
        <w:spacing w:after="0" w:line="360" w:lineRule="auto"/>
        <w:ind w:left="-297" w:leftChars="-135" w:right="-350" w:rightChars="-159" w:firstLine="492" w:firstLineChars="176"/>
        <w:rPr>
          <w:rFonts w:ascii="Calibri" w:hAnsi="Calibri" w:eastAsia="方正仿宋_GBK" w:cs="Times New Roman"/>
          <w:color w:val="auto"/>
          <w:kern w:val="0"/>
          <w:sz w:val="28"/>
          <w:szCs w:val="28"/>
          <w:highlight w:val="none"/>
        </w:rPr>
      </w:pPr>
    </w:p>
    <w:p>
      <w:pPr>
        <w:spacing w:after="0" w:line="360" w:lineRule="auto"/>
        <w:ind w:right="-350" w:rightChars="-159"/>
        <w:jc w:val="both"/>
        <w:rPr>
          <w:rFonts w:ascii="Calibri" w:hAnsi="Calibri" w:eastAsia="方正仿宋_GBK" w:cs="Times New Roman"/>
          <w:b/>
          <w:color w:val="auto"/>
          <w:sz w:val="28"/>
          <w:szCs w:val="28"/>
          <w:highlight w:val="none"/>
        </w:rPr>
      </w:pPr>
    </w:p>
    <w:p>
      <w:pPr>
        <w:spacing w:after="0" w:line="360" w:lineRule="auto"/>
        <w:ind w:right="-350" w:rightChars="-159"/>
        <w:jc w:val="center"/>
        <w:rPr>
          <w:rFonts w:ascii="Calibri" w:hAnsi="Calibri" w:eastAsia="方正仿宋_GBK" w:cs="Times New Roman"/>
          <w:bCs/>
          <w:color w:val="auto"/>
          <w:sz w:val="32"/>
          <w:szCs w:val="32"/>
          <w:highlight w:val="none"/>
        </w:rPr>
      </w:pPr>
      <w:r>
        <w:rPr>
          <w:rFonts w:hint="eastAsia" w:ascii="Calibri" w:hAnsi="方正仿宋_GBK" w:eastAsia="方正仿宋_GBK" w:cs="方正仿宋_GBK"/>
          <w:bCs/>
          <w:color w:val="auto"/>
          <w:sz w:val="32"/>
          <w:szCs w:val="32"/>
          <w:highlight w:val="none"/>
        </w:rPr>
        <w:t>承包商：</w:t>
      </w:r>
      <w:r>
        <w:rPr>
          <w:rFonts w:ascii="Calibri" w:hAnsi="Calibri" w:eastAsia="方正仿宋_GBK" w:cs="Times New Roman"/>
          <w:bCs/>
          <w:color w:val="auto"/>
          <w:sz w:val="32"/>
          <w:szCs w:val="32"/>
          <w:highlight w:val="none"/>
          <w:u w:val="single"/>
        </w:rPr>
        <w:t xml:space="preserve"> </w:t>
      </w:r>
      <w:r>
        <w:rPr>
          <w:rFonts w:hint="eastAsia" w:ascii="Calibri" w:hAnsi="方正仿宋_GBK" w:eastAsia="方正仿宋_GBK" w:cs="方正仿宋_GBK"/>
          <w:bCs/>
          <w:color w:val="auto"/>
          <w:sz w:val="32"/>
          <w:szCs w:val="32"/>
          <w:highlight w:val="none"/>
          <w:u w:val="single"/>
        </w:rPr>
        <w:t>　　　　</w:t>
      </w:r>
      <w:r>
        <w:rPr>
          <w:rFonts w:ascii="Calibri" w:hAnsi="Calibri" w:eastAsia="方正仿宋_GBK" w:cs="Times New Roman"/>
          <w:bCs/>
          <w:color w:val="auto"/>
          <w:sz w:val="32"/>
          <w:szCs w:val="32"/>
          <w:highlight w:val="none"/>
          <w:u w:val="single"/>
        </w:rPr>
        <w:t xml:space="preserve">              </w:t>
      </w:r>
      <w:r>
        <w:rPr>
          <w:rFonts w:hint="eastAsia" w:ascii="Calibri" w:hAnsi="方正仿宋_GBK" w:eastAsia="方正仿宋_GBK" w:cs="方正仿宋_GBK"/>
          <w:bCs/>
          <w:color w:val="auto"/>
          <w:sz w:val="32"/>
          <w:szCs w:val="32"/>
          <w:highlight w:val="none"/>
          <w:u w:val="single"/>
        </w:rPr>
        <w:t>　　</w:t>
      </w:r>
      <w:r>
        <w:rPr>
          <w:rFonts w:hint="eastAsia" w:ascii="Calibri" w:hAnsi="方正仿宋_GBK" w:eastAsia="方正仿宋_GBK" w:cs="方正仿宋_GBK"/>
          <w:bCs/>
          <w:color w:val="auto"/>
          <w:sz w:val="32"/>
          <w:szCs w:val="32"/>
          <w:highlight w:val="none"/>
        </w:rPr>
        <w:t>（盖单位公章）</w:t>
      </w:r>
    </w:p>
    <w:p>
      <w:pPr>
        <w:spacing w:after="0" w:line="360" w:lineRule="auto"/>
        <w:ind w:left="-297" w:leftChars="-135" w:right="-350" w:rightChars="-159" w:firstLine="1928" w:firstLineChars="686"/>
        <w:jc w:val="both"/>
        <w:rPr>
          <w:rFonts w:ascii="Calibri" w:hAnsi="Calibri" w:eastAsia="方正仿宋_GBK" w:cs="Times New Roman"/>
          <w:b/>
          <w:color w:val="auto"/>
          <w:sz w:val="28"/>
          <w:szCs w:val="28"/>
          <w:highlight w:val="none"/>
        </w:rPr>
      </w:pPr>
    </w:p>
    <w:p>
      <w:pPr>
        <w:spacing w:after="0" w:line="360" w:lineRule="auto"/>
        <w:ind w:left="-297" w:leftChars="-135" w:right="-350" w:rightChars="-159" w:firstLine="495" w:firstLineChars="176"/>
        <w:jc w:val="center"/>
        <w:rPr>
          <w:rFonts w:ascii="Calibri" w:hAnsi="Calibri" w:eastAsia="方正仿宋_GBK" w:cs="Times New Roman"/>
          <w:b/>
          <w:color w:val="auto"/>
          <w:sz w:val="28"/>
          <w:szCs w:val="28"/>
          <w:highlight w:val="none"/>
        </w:rPr>
      </w:pPr>
    </w:p>
    <w:p>
      <w:pPr>
        <w:spacing w:after="0" w:line="360" w:lineRule="auto"/>
        <w:ind w:right="-350" w:rightChars="-159"/>
        <w:jc w:val="center"/>
        <w:rPr>
          <w:rFonts w:ascii="Calibri" w:hAnsi="方正仿宋_GBK" w:eastAsia="方正仿宋_GBK" w:cs="方正仿宋_GBK"/>
          <w:bCs/>
          <w:color w:val="auto"/>
          <w:sz w:val="32"/>
          <w:szCs w:val="32"/>
          <w:highlight w:val="none"/>
        </w:rPr>
      </w:pP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年</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 xml:space="preserve"> </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月</w:t>
      </w:r>
      <w:r>
        <w:rPr>
          <w:rFonts w:ascii="Calibri" w:hAnsi="方正仿宋_GBK" w:eastAsia="方正仿宋_GBK" w:cs="方正仿宋_GBK"/>
          <w:bCs/>
          <w:color w:val="auto"/>
          <w:sz w:val="32"/>
          <w:szCs w:val="32"/>
          <w:highlight w:val="none"/>
        </w:rPr>
        <w:t xml:space="preserve">    </w:t>
      </w:r>
      <w:r>
        <w:rPr>
          <w:rFonts w:hint="eastAsia" w:ascii="Calibri" w:hAnsi="方正仿宋_GBK" w:eastAsia="方正仿宋_GBK" w:cs="方正仿宋_GBK"/>
          <w:bCs/>
          <w:color w:val="auto"/>
          <w:sz w:val="32"/>
          <w:szCs w:val="32"/>
          <w:highlight w:val="none"/>
        </w:rPr>
        <w:t>日</w:t>
      </w:r>
    </w:p>
    <w:p>
      <w:pPr>
        <w:spacing w:line="360" w:lineRule="auto"/>
        <w:jc w:val="both"/>
        <w:rPr>
          <w:rFonts w:ascii="Calibri" w:hAnsi="Calibri" w:eastAsia="方正仿宋_GBK" w:cs="Times New Roman"/>
          <w:b/>
          <w:color w:val="auto"/>
          <w:sz w:val="28"/>
          <w:szCs w:val="28"/>
          <w:highlight w:val="none"/>
        </w:rPr>
        <w:sectPr>
          <w:pgSz w:w="11906" w:h="16838"/>
          <w:pgMar w:top="1871" w:right="1474" w:bottom="1871" w:left="1644" w:header="851" w:footer="992" w:gutter="0"/>
          <w:cols w:space="720" w:num="1"/>
          <w:docGrid w:type="lines" w:linePitch="312" w:charSpace="0"/>
        </w:sectPr>
      </w:pPr>
    </w:p>
    <w:p>
      <w:pPr>
        <w:spacing w:after="0" w:line="360" w:lineRule="auto"/>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目  录</w:t>
      </w:r>
    </w:p>
    <w:p>
      <w:pPr>
        <w:spacing w:after="0" w:line="600" w:lineRule="exact"/>
        <w:jc w:val="both"/>
        <w:rPr>
          <w:rFonts w:ascii="方正仿宋_GBK" w:hAnsi="方正仿宋_GBK" w:eastAsia="方正仿宋_GBK" w:cs="方正仿宋_GBK"/>
          <w:bCs/>
          <w:color w:val="auto"/>
          <w:sz w:val="32"/>
          <w:szCs w:val="32"/>
          <w:highlight w:val="none"/>
        </w:rPr>
      </w:pP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一、法定代表人授权委托书（格式）</w:t>
      </w: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二、报价函</w:t>
      </w:r>
    </w:p>
    <w:p>
      <w:pPr>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三、资格文件</w:t>
      </w:r>
    </w:p>
    <w:p>
      <w:pPr>
        <w:tabs>
          <w:tab w:val="left" w:pos="2760"/>
        </w:tabs>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四、诚信承诺书</w:t>
      </w:r>
    </w:p>
    <w:p>
      <w:pPr>
        <w:adjustRightInd w:val="0"/>
        <w:snapToGrid w:val="0"/>
        <w:spacing w:after="0" w:line="600" w:lineRule="exact"/>
        <w:ind w:firstLine="640" w:firstLineChars="200"/>
        <w:jc w:val="both"/>
        <w:rPr>
          <w:rFonts w:ascii="方正仿宋_GBK" w:hAnsi="方正仿宋_GBK" w:eastAsia="方正仿宋_GBK" w:cs="方正仿宋_GBK"/>
          <w:bCs/>
          <w:color w:val="auto"/>
          <w:sz w:val="32"/>
          <w:szCs w:val="32"/>
          <w:highlight w:val="none"/>
        </w:rPr>
      </w:pPr>
      <w:r>
        <w:rPr>
          <w:rFonts w:hint="eastAsia" w:ascii="方正仿宋_GBK" w:hAnsi="方正仿宋_GBK" w:eastAsia="方正仿宋_GBK" w:cs="方正仿宋_GBK"/>
          <w:bCs/>
          <w:color w:val="auto"/>
          <w:sz w:val="32"/>
          <w:szCs w:val="32"/>
          <w:highlight w:val="none"/>
        </w:rPr>
        <w:t>五、比选文件规定的其他资料</w:t>
      </w:r>
    </w:p>
    <w:p>
      <w:pPr>
        <w:spacing w:after="0" w:line="600" w:lineRule="exact"/>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center"/>
        <w:rPr>
          <w:rFonts w:ascii="Calibri" w:hAnsi="Calibri" w:eastAsia="方正仿宋_GBK" w:cs="Times New Roman"/>
          <w:b/>
          <w:color w:val="auto"/>
          <w:sz w:val="28"/>
          <w:szCs w:val="28"/>
          <w:highlight w:val="none"/>
        </w:rPr>
      </w:pPr>
    </w:p>
    <w:p>
      <w:pPr>
        <w:spacing w:after="0" w:line="360" w:lineRule="auto"/>
        <w:jc w:val="both"/>
        <w:rPr>
          <w:rFonts w:ascii="Calibri" w:hAnsi="Calibri" w:eastAsia="方正仿宋_GBK" w:cs="Times New Roman"/>
          <w:b/>
          <w:color w:val="auto"/>
          <w:sz w:val="28"/>
          <w:szCs w:val="28"/>
          <w:highlight w:val="none"/>
        </w:rPr>
      </w:pP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r>
        <w:rPr>
          <w:rFonts w:ascii="Calibri" w:hAnsi="Calibri" w:eastAsia="方正仿宋_GBK" w:cs="Times New Roman"/>
          <w:b/>
          <w:color w:val="auto"/>
          <w:sz w:val="28"/>
          <w:szCs w:val="28"/>
          <w:highlight w:val="none"/>
        </w:rPr>
        <w:br w:type="page"/>
      </w:r>
      <w:r>
        <w:rPr>
          <w:rFonts w:hint="eastAsia" w:ascii="方正黑体_GBK" w:hAnsi="方正黑体_GBK" w:eastAsia="方正黑体_GBK" w:cs="方正黑体_GBK"/>
          <w:bCs/>
          <w:color w:val="auto"/>
          <w:sz w:val="32"/>
          <w:szCs w:val="32"/>
          <w:highlight w:val="none"/>
        </w:rPr>
        <w:t>一、法定代表人（负责人）授权委托书（格式）</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jc w:val="center"/>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法定代表人（负责人）授权委托书</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致：（项目单位名称）：</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（法定代表人/负责人名称）是（承包商名称）的法定代表人/负责人，特授权（被授权人姓名及身份证代码）电话代表我单位全权办理上述项目的比选、签约等具体工作，并签署全部有关文件、协议及合同。</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我单位对被授权人的签字负全部责任。</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在撤</w:t>
      </w:r>
      <w:r>
        <w:rPr>
          <w:rFonts w:hint="eastAsia" w:ascii="Times New Roman" w:hAnsi="Times New Roman" w:eastAsia="方正仿宋_GBK" w:cs="Times New Roman"/>
          <w:bCs/>
          <w:color w:val="auto"/>
          <w:sz w:val="32"/>
          <w:szCs w:val="32"/>
          <w:highlight w:val="none"/>
        </w:rPr>
        <w:t>销</w:t>
      </w:r>
      <w:r>
        <w:rPr>
          <w:rFonts w:ascii="Times New Roman" w:hAnsi="Times New Roman" w:eastAsia="方正仿宋_GBK" w:cs="Times New Roman"/>
          <w:bCs/>
          <w:color w:val="auto"/>
          <w:sz w:val="32"/>
          <w:szCs w:val="32"/>
          <w:highlight w:val="none"/>
        </w:rPr>
        <w:t>授权的书面通知以前，本授权书一直有效。被授权人在授权书有效期内签署的所有文件不因授权的撤</w:t>
      </w:r>
      <w:r>
        <w:rPr>
          <w:rFonts w:hint="eastAsia" w:ascii="Times New Roman" w:hAnsi="Times New Roman" w:eastAsia="方正仿宋_GBK" w:cs="Times New Roman"/>
          <w:bCs/>
          <w:color w:val="auto"/>
          <w:sz w:val="32"/>
          <w:szCs w:val="32"/>
          <w:highlight w:val="none"/>
        </w:rPr>
        <w:t>销</w:t>
      </w:r>
      <w:r>
        <w:rPr>
          <w:rFonts w:ascii="Times New Roman" w:hAnsi="Times New Roman" w:eastAsia="方正仿宋_GBK" w:cs="Times New Roman"/>
          <w:bCs/>
          <w:color w:val="auto"/>
          <w:sz w:val="32"/>
          <w:szCs w:val="32"/>
          <w:highlight w:val="none"/>
        </w:rPr>
        <w:t>而失效。</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被授权人：                    法定代表人/负责人：</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（签字或盖章）                  （签字或盖章）</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（附：被授权人身份证正反面复印件）</w:t>
      </w:r>
    </w:p>
    <w:p>
      <w:pPr>
        <w:tabs>
          <w:tab w:val="left" w:pos="6300"/>
        </w:tabs>
        <w:snapToGrid w:val="0"/>
        <w:spacing w:line="560" w:lineRule="exact"/>
        <w:ind w:firstLine="570"/>
        <w:jc w:val="right"/>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（承包商公章）</w:t>
      </w:r>
    </w:p>
    <w:p>
      <w:pPr>
        <w:tabs>
          <w:tab w:val="left" w:pos="6300"/>
        </w:tabs>
        <w:snapToGrid w:val="0"/>
        <w:spacing w:line="560" w:lineRule="exact"/>
        <w:ind w:firstLine="570"/>
        <w:jc w:val="right"/>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年   月   日</w:t>
      </w:r>
    </w:p>
    <w:p>
      <w:pPr>
        <w:tabs>
          <w:tab w:val="left" w:pos="6300"/>
        </w:tabs>
        <w:snapToGrid w:val="0"/>
        <w:spacing w:after="0" w:line="360" w:lineRule="auto"/>
        <w:outlineLvl w:val="0"/>
        <w:rPr>
          <w:rFonts w:hint="eastAsia" w:ascii="方正黑体_GBK" w:hAnsi="方正黑体_GBK" w:eastAsia="方正黑体_GBK" w:cs="方正黑体_GBK"/>
          <w:bCs/>
          <w:color w:val="auto"/>
          <w:sz w:val="32"/>
          <w:szCs w:val="32"/>
          <w:highlight w:val="none"/>
        </w:rPr>
      </w:pPr>
    </w:p>
    <w:p>
      <w:pPr>
        <w:tabs>
          <w:tab w:val="left" w:pos="6300"/>
        </w:tabs>
        <w:snapToGrid w:val="0"/>
        <w:spacing w:after="0" w:line="360" w:lineRule="auto"/>
        <w:outlineLvl w:val="0"/>
        <w:rPr>
          <w:rFonts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二、报价函</w:t>
      </w:r>
    </w:p>
    <w:p>
      <w:pPr>
        <w:tabs>
          <w:tab w:val="left" w:pos="6300"/>
        </w:tabs>
        <w:snapToGrid w:val="0"/>
        <w:spacing w:line="560" w:lineRule="exact"/>
        <w:jc w:val="center"/>
        <w:outlineLvl w:val="0"/>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报价函</w:t>
      </w:r>
    </w:p>
    <w:p>
      <w:pPr>
        <w:tabs>
          <w:tab w:val="left" w:pos="6300"/>
        </w:tabs>
        <w:snapToGrid w:val="0"/>
        <w:spacing w:line="560" w:lineRule="exact"/>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u w:val="single"/>
        </w:rPr>
        <w:t>（项目单位名称）</w:t>
      </w:r>
      <w:r>
        <w:rPr>
          <w:rFonts w:ascii="Times New Roman" w:hAnsi="Times New Roman" w:eastAsia="方正仿宋_GBK" w:cs="Times New Roman"/>
          <w:bCs/>
          <w:color w:val="auto"/>
          <w:sz w:val="32"/>
          <w:szCs w:val="32"/>
          <w:highlight w:val="none"/>
        </w:rPr>
        <w:t>：</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我方收到</w:t>
      </w:r>
      <w:r>
        <w:rPr>
          <w:rFonts w:ascii="Times New Roman" w:hAnsi="Times New Roman" w:eastAsia="方正仿宋_GBK" w:cs="Times New Roman"/>
          <w:bCs/>
          <w:color w:val="auto"/>
          <w:sz w:val="32"/>
          <w:szCs w:val="32"/>
          <w:highlight w:val="none"/>
          <w:u w:val="single"/>
        </w:rPr>
        <w:t xml:space="preserve">                        </w:t>
      </w:r>
      <w:r>
        <w:rPr>
          <w:rFonts w:ascii="Times New Roman" w:hAnsi="Times New Roman" w:eastAsia="方正仿宋_GBK" w:cs="Times New Roman"/>
          <w:bCs/>
          <w:color w:val="auto"/>
          <w:sz w:val="32"/>
          <w:szCs w:val="32"/>
          <w:highlight w:val="none"/>
        </w:rPr>
        <w:t>（项目名称）的比选文件，经详细研究，决定参加该项目的比选。</w:t>
      </w:r>
    </w:p>
    <w:p>
      <w:pPr>
        <w:tabs>
          <w:tab w:val="left" w:pos="4820"/>
          <w:tab w:val="left" w:pos="6300"/>
        </w:tabs>
        <w:snapToGrid w:val="0"/>
        <w:spacing w:line="560" w:lineRule="exact"/>
        <w:ind w:firstLine="640" w:firstLineChars="200"/>
        <w:jc w:val="both"/>
        <w:rPr>
          <w:rFonts w:hint="eastAsia" w:ascii="Times New Roman" w:hAnsi="Times New Roman" w:eastAsia="方正仿宋_GBK" w:cs="Times New Roman"/>
          <w:bCs/>
          <w:color w:val="auto"/>
          <w:sz w:val="32"/>
          <w:szCs w:val="32"/>
          <w:highlight w:val="none"/>
          <w:lang w:eastAsia="zh-CN"/>
        </w:rPr>
      </w:pPr>
      <w:r>
        <w:rPr>
          <w:rFonts w:hint="eastAsia" w:ascii="Times New Roman" w:hAnsi="Times New Roman" w:eastAsia="方正仿宋_GBK" w:cs="Times New Roman"/>
          <w:bCs/>
          <w:color w:val="auto"/>
          <w:sz w:val="32"/>
          <w:szCs w:val="32"/>
          <w:highlight w:val="none"/>
        </w:rPr>
        <w:t>1.</w:t>
      </w:r>
      <w:r>
        <w:rPr>
          <w:rFonts w:ascii="Times New Roman" w:hAnsi="Times New Roman" w:eastAsia="方正仿宋_GBK" w:cs="Times New Roman"/>
          <w:bCs/>
          <w:color w:val="auto"/>
          <w:sz w:val="32"/>
          <w:szCs w:val="32"/>
          <w:highlight w:val="none"/>
        </w:rPr>
        <w:t>愿意按照比选采购文件中的要求，提供本项目的服务，报价为</w:t>
      </w:r>
      <w:r>
        <w:rPr>
          <w:rFonts w:hint="eastAsia" w:ascii="Times New Roman" w:hAnsi="Times New Roman" w:eastAsia="方正仿宋_GBK" w:cs="Times New Roman"/>
          <w:bCs/>
          <w:color w:val="auto"/>
          <w:sz w:val="32"/>
          <w:szCs w:val="32"/>
          <w:highlight w:val="none"/>
          <w:lang w:eastAsia="zh-CN"/>
        </w:rPr>
        <w:t>：</w:t>
      </w:r>
      <w:r>
        <w:rPr>
          <w:rFonts w:ascii="Times New Roman" w:hAnsi="Times New Roman" w:eastAsia="方正仿宋_GBK" w:cs="Times New Roman"/>
          <w:bCs/>
          <w:color w:val="auto"/>
          <w:sz w:val="32"/>
          <w:szCs w:val="32"/>
          <w:highlight w:val="none"/>
          <w:u w:val="single"/>
        </w:rPr>
        <w:t xml:space="preserve">            </w:t>
      </w:r>
      <w:r>
        <w:rPr>
          <w:rFonts w:hint="eastAsia" w:ascii="Times New Roman" w:hAnsi="Times New Roman" w:eastAsia="方正仿宋_GBK" w:cs="Times New Roman"/>
          <w:bCs/>
          <w:color w:val="auto"/>
          <w:sz w:val="32"/>
          <w:szCs w:val="32"/>
          <w:highlight w:val="none"/>
          <w:u w:val="single"/>
          <w:lang w:eastAsia="zh-CN"/>
        </w:rPr>
        <w:t>。</w:t>
      </w:r>
    </w:p>
    <w:p>
      <w:pPr>
        <w:tabs>
          <w:tab w:val="left" w:pos="4820"/>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2</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我方现提交的响应文件为：响应文件纸质档</w:t>
      </w:r>
      <w:r>
        <w:rPr>
          <w:rFonts w:ascii="Times New Roman" w:hAnsi="Times New Roman" w:eastAsia="方正仿宋_GBK" w:cs="Times New Roman"/>
          <w:bCs/>
          <w:color w:val="auto"/>
          <w:sz w:val="32"/>
          <w:szCs w:val="32"/>
          <w:highlight w:val="none"/>
          <w:u w:val="single"/>
        </w:rPr>
        <w:t xml:space="preserve">  </w:t>
      </w:r>
      <w:r>
        <w:rPr>
          <w:rFonts w:ascii="Times New Roman" w:hAnsi="Times New Roman" w:eastAsia="方正仿宋_GBK" w:cs="Times New Roman"/>
          <w:bCs/>
          <w:color w:val="auto"/>
          <w:sz w:val="32"/>
          <w:szCs w:val="32"/>
          <w:highlight w:val="none"/>
        </w:rPr>
        <w:t>份。</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3</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我方承诺：本次比选的有效期为90天。</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4</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我方完全理解和接受贵方比选文件的规定和要求及评审办法。</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5</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在整个比选过程中，我方若有违规行为，接受相关法律法规给予的惩罚。</w:t>
      </w:r>
    </w:p>
    <w:p>
      <w:pPr>
        <w:tabs>
          <w:tab w:val="left" w:pos="6300"/>
        </w:tabs>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6</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我方若中选，将按照比选结果签订合同，并且严格履行合同义务。本承诺函将成为合同不可分割的一部分，与合同具有同等的法律效力。</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p>
    <w:p>
      <w:pPr>
        <w:tabs>
          <w:tab w:val="left" w:pos="6300"/>
        </w:tabs>
        <w:snapToGrid w:val="0"/>
        <w:spacing w:line="560" w:lineRule="exact"/>
        <w:ind w:firstLine="3686"/>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承包商名称（公章）：</w:t>
      </w:r>
    </w:p>
    <w:p>
      <w:pPr>
        <w:snapToGrid w:val="0"/>
        <w:spacing w:line="560" w:lineRule="exact"/>
        <w:ind w:firstLine="5440" w:firstLineChars="17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年   月   日</w:t>
      </w: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p>
    <w:p>
      <w:pPr>
        <w:tabs>
          <w:tab w:val="left" w:pos="6300"/>
        </w:tabs>
        <w:snapToGrid w:val="0"/>
        <w:spacing w:line="560" w:lineRule="exact"/>
        <w:jc w:val="both"/>
        <w:outlineLvl w:val="0"/>
        <w:rPr>
          <w:rFonts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三、资格文件</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（一）营业执照（副本）或事业单位法人证书（副本）复印件</w:t>
      </w:r>
      <w:r>
        <w:rPr>
          <w:rFonts w:hint="eastAsia" w:ascii="Times New Roman" w:hAnsi="Times New Roman" w:eastAsia="方正仿宋_GBK" w:cs="Times New Roman"/>
          <w:bCs/>
          <w:color w:val="auto"/>
          <w:sz w:val="32"/>
          <w:szCs w:val="32"/>
          <w:highlight w:val="none"/>
        </w:rPr>
        <w:t>。</w:t>
      </w:r>
    </w:p>
    <w:p>
      <w:pPr>
        <w:numPr>
          <w:ilvl w:val="0"/>
          <w:numId w:val="2"/>
        </w:num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组织机构代码证复印件</w:t>
      </w:r>
      <w:r>
        <w:rPr>
          <w:rFonts w:hint="eastAsia" w:ascii="Times New Roman" w:hAnsi="Times New Roman" w:eastAsia="方正仿宋_GBK" w:cs="Times New Roman"/>
          <w:bCs/>
          <w:color w:val="auto"/>
          <w:sz w:val="32"/>
          <w:szCs w:val="32"/>
          <w:highlight w:val="none"/>
        </w:rPr>
        <w:t>。</w:t>
      </w:r>
    </w:p>
    <w:p>
      <w:pPr>
        <w:numPr>
          <w:ilvl w:val="0"/>
          <w:numId w:val="2"/>
        </w:num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税务登记证（副本）原件扫描件和社会保险缴纳证明材料。</w:t>
      </w:r>
    </w:p>
    <w:p>
      <w:pPr>
        <w:tabs>
          <w:tab w:val="left" w:pos="6300"/>
        </w:tabs>
        <w:snapToGrid w:val="0"/>
        <w:spacing w:line="560" w:lineRule="exact"/>
        <w:ind w:firstLine="57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承包商按</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三证合一</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登记制度办理营业执照的，组织机构代码证和税务登记证以承包商所提供的法人营业执照（副本）原件扫描件为准。</w:t>
      </w:r>
    </w:p>
    <w:p>
      <w:pPr>
        <w:kinsoku w:val="0"/>
        <w:overflowPunct w:val="0"/>
        <w:autoSpaceDE w:val="0"/>
        <w:autoSpaceDN w:val="0"/>
        <w:adjustRightInd w:val="0"/>
        <w:snapToGrid w:val="0"/>
        <w:spacing w:line="560" w:lineRule="exact"/>
        <w:ind w:firstLine="640" w:firstLineChars="200"/>
        <w:jc w:val="both"/>
        <w:rPr>
          <w:rFonts w:ascii="Times New Roman" w:hAnsi="Times New Roman" w:eastAsia="方正仿宋_GBK" w:cs="Times New Roman"/>
          <w:bCs/>
          <w:color w:val="auto"/>
          <w:sz w:val="32"/>
          <w:szCs w:val="32"/>
          <w:highlight w:val="none"/>
        </w:rPr>
      </w:pPr>
      <w:r>
        <w:rPr>
          <w:rFonts w:ascii="Times New Roman" w:hAnsi="Times New Roman" w:eastAsia="方正仿宋_GBK" w:cs="Times New Roman"/>
          <w:bCs/>
          <w:color w:val="auto"/>
          <w:sz w:val="32"/>
          <w:szCs w:val="32"/>
          <w:highlight w:val="none"/>
        </w:rPr>
        <w:t>（四）特定资格条件证书或证明文件：（自行补充）</w:t>
      </w: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560" w:lineRule="exact"/>
        <w:jc w:val="both"/>
        <w:rPr>
          <w:rFonts w:ascii="Times New Roman" w:hAnsi="Times New Roman" w:eastAsia="方正仿宋_GBK" w:cs="Times New Roman"/>
          <w:bCs/>
          <w:color w:val="auto"/>
          <w:kern w:val="0"/>
          <w:sz w:val="32"/>
          <w:szCs w:val="32"/>
          <w:highlight w:val="none"/>
        </w:rPr>
      </w:pPr>
    </w:p>
    <w:p>
      <w:pPr>
        <w:spacing w:line="560" w:lineRule="exact"/>
        <w:jc w:val="both"/>
        <w:rPr>
          <w:rFonts w:ascii="Times New Roman" w:hAnsi="Times New Roman" w:eastAsia="方正仿宋_GBK" w:cs="Times New Roman"/>
          <w:bCs/>
          <w:color w:val="auto"/>
          <w:sz w:val="32"/>
          <w:szCs w:val="32"/>
          <w:highlight w:val="none"/>
        </w:rPr>
      </w:pPr>
    </w:p>
    <w:p>
      <w:pPr>
        <w:spacing w:after="0" w:line="360" w:lineRule="auto"/>
        <w:jc w:val="both"/>
        <w:rPr>
          <w:rFonts w:ascii="方正黑体_GBK" w:hAnsi="方正黑体_GBK" w:eastAsia="方正黑体_GBK" w:cs="方正黑体_GBK"/>
          <w:bCs/>
          <w:kern w:val="0"/>
          <w:sz w:val="32"/>
          <w:szCs w:val="32"/>
          <w:highlight w:val="none"/>
        </w:rPr>
      </w:pPr>
      <w:r>
        <w:rPr>
          <w:rFonts w:hint="eastAsia" w:ascii="方正黑体_GBK" w:hAnsi="方正黑体_GBK" w:eastAsia="方正黑体_GBK" w:cs="方正黑体_GBK"/>
          <w:bCs/>
          <w:kern w:val="0"/>
          <w:sz w:val="32"/>
          <w:szCs w:val="32"/>
          <w:highlight w:val="none"/>
        </w:rPr>
        <w:t>四、诚信承诺书</w:t>
      </w:r>
    </w:p>
    <w:p>
      <w:pPr>
        <w:tabs>
          <w:tab w:val="left" w:pos="6300"/>
        </w:tabs>
        <w:snapToGrid w:val="0"/>
        <w:spacing w:line="560" w:lineRule="exact"/>
        <w:ind w:left="1600" w:hanging="1600" w:hangingChars="500"/>
        <w:jc w:val="both"/>
        <w:rPr>
          <w:rFonts w:hint="eastAsia" w:ascii="Times New Roman" w:hAnsi="Times New Roman" w:eastAsia="方正仿宋_GBK" w:cs="Times New Roman"/>
          <w:sz w:val="32"/>
          <w:szCs w:val="32"/>
          <w:highlight w:val="none"/>
          <w:lang w:eastAsia="zh-CN"/>
        </w:rPr>
      </w:pPr>
      <w:r>
        <w:rPr>
          <w:rFonts w:ascii="Times New Roman" w:hAnsi="Times New Roman" w:eastAsia="方正仿宋_GBK" w:cs="Times New Roman"/>
          <w:sz w:val="32"/>
          <w:szCs w:val="32"/>
          <w:highlight w:val="none"/>
        </w:rPr>
        <w:t>项目名称：</w:t>
      </w:r>
      <w:r>
        <w:rPr>
          <w:rFonts w:hint="eastAsia" w:ascii="Times New Roman" w:hAnsi="Times New Roman" w:eastAsia="方正仿宋_GBK" w:cs="Times New Roman"/>
          <w:bCs/>
          <w:color w:val="auto"/>
          <w:kern w:val="0"/>
          <w:sz w:val="32"/>
          <w:szCs w:val="32"/>
          <w:highlight w:val="none"/>
        </w:rPr>
        <w:t>木洞中坝岛民房加固工程、前期民宿装饰装修及室外景观配套附属工程监理项目</w:t>
      </w:r>
    </w:p>
    <w:p>
      <w:pPr>
        <w:tabs>
          <w:tab w:val="left" w:pos="6300"/>
        </w:tabs>
        <w:snapToGrid w:val="0"/>
        <w:spacing w:line="560" w:lineRule="exact"/>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致：（项目单位）：</w:t>
      </w: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失信被执行人</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重大税收违法案件当事人名单</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中，并随时接受项目单位的检查验证，符合比选文件要求的承包商资格条件。我方对以上声明负全部法律责任。</w:t>
      </w:r>
    </w:p>
    <w:p>
      <w:pPr>
        <w:tabs>
          <w:tab w:val="left" w:pos="6300"/>
        </w:tabs>
        <w:snapToGrid w:val="0"/>
        <w:spacing w:line="560" w:lineRule="exact"/>
        <w:ind w:firstLine="640" w:firstLineChars="200"/>
        <w:jc w:val="both"/>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特此声明。</w:t>
      </w:r>
    </w:p>
    <w:p>
      <w:pPr>
        <w:tabs>
          <w:tab w:val="left" w:pos="6300"/>
        </w:tabs>
        <w:snapToGrid w:val="0"/>
        <w:spacing w:line="560" w:lineRule="exact"/>
        <w:ind w:firstLine="570"/>
        <w:jc w:val="both"/>
        <w:rPr>
          <w:rFonts w:ascii="Times New Roman" w:hAnsi="Times New Roman" w:eastAsia="方正仿宋_GBK" w:cs="Times New Roman"/>
          <w:sz w:val="32"/>
          <w:szCs w:val="32"/>
          <w:highlight w:val="none"/>
        </w:rPr>
      </w:pPr>
    </w:p>
    <w:p>
      <w:pPr>
        <w:tabs>
          <w:tab w:val="left" w:pos="6300"/>
        </w:tabs>
        <w:snapToGrid w:val="0"/>
        <w:spacing w:line="560" w:lineRule="exact"/>
        <w:ind w:firstLine="570"/>
        <w:jc w:val="right"/>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（承包商公章）</w:t>
      </w:r>
    </w:p>
    <w:p>
      <w:pPr>
        <w:tabs>
          <w:tab w:val="left" w:pos="6300"/>
        </w:tabs>
        <w:snapToGrid w:val="0"/>
        <w:spacing w:line="560" w:lineRule="exact"/>
        <w:ind w:firstLine="570"/>
        <w:jc w:val="right"/>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年   月   日</w:t>
      </w:r>
    </w:p>
    <w:p>
      <w:pPr>
        <w:widowControl/>
        <w:autoSpaceDE w:val="0"/>
        <w:autoSpaceDN w:val="0"/>
        <w:adjustRightInd w:val="0"/>
        <w:spacing w:before="16"/>
        <w:outlineLvl w:val="2"/>
        <w:rPr>
          <w:rFonts w:hint="eastAsia" w:ascii="方正黑体_GBK" w:hAnsi="方正黑体_GBK" w:eastAsia="方正黑体_GBK" w:cs="方正黑体_GBK"/>
          <w:bCs/>
          <w:sz w:val="32"/>
          <w:szCs w:val="32"/>
          <w:highlight w:val="none"/>
        </w:rPr>
      </w:pPr>
    </w:p>
    <w:p>
      <w:pPr>
        <w:widowControl/>
        <w:autoSpaceDE w:val="0"/>
        <w:autoSpaceDN w:val="0"/>
        <w:adjustRightInd w:val="0"/>
        <w:spacing w:before="16"/>
        <w:outlineLvl w:val="2"/>
        <w:rPr>
          <w:rFonts w:hint="eastAsia" w:ascii="方正黑体_GBK" w:hAnsi="方正黑体_GBK" w:eastAsia="方正黑体_GBK" w:cs="方正黑体_GBK"/>
          <w:bCs/>
          <w:sz w:val="32"/>
          <w:szCs w:val="32"/>
          <w:highlight w:val="none"/>
        </w:rPr>
      </w:pPr>
    </w:p>
    <w:p>
      <w:pPr>
        <w:widowControl/>
        <w:autoSpaceDE w:val="0"/>
        <w:autoSpaceDN w:val="0"/>
        <w:adjustRightInd w:val="0"/>
        <w:spacing w:before="16"/>
        <w:outlineLvl w:val="2"/>
        <w:rPr>
          <w:rFonts w:ascii="方正黑体_GBK" w:hAnsi="方正黑体_GBK" w:eastAsia="方正黑体_GBK" w:cs="方正黑体_GBK"/>
          <w:bCs/>
          <w:kern w:val="0"/>
          <w:sz w:val="32"/>
          <w:szCs w:val="32"/>
          <w:highlight w:val="none"/>
        </w:rPr>
      </w:pPr>
      <w:r>
        <w:rPr>
          <w:rFonts w:hint="eastAsia" w:ascii="方正黑体_GBK" w:hAnsi="方正黑体_GBK" w:eastAsia="方正黑体_GBK" w:cs="方正黑体_GBK"/>
          <w:bCs/>
          <w:sz w:val="32"/>
          <w:szCs w:val="32"/>
          <w:highlight w:val="none"/>
        </w:rPr>
        <w:t>五、</w:t>
      </w:r>
      <w:r>
        <w:rPr>
          <w:rFonts w:hint="eastAsia" w:ascii="方正黑体_GBK" w:hAnsi="方正黑体_GBK" w:eastAsia="方正黑体_GBK" w:cs="方正黑体_GBK"/>
          <w:bCs/>
          <w:kern w:val="0"/>
          <w:sz w:val="32"/>
          <w:szCs w:val="32"/>
          <w:highlight w:val="none"/>
        </w:rPr>
        <w:t>询比文件规定的其他资料</w:t>
      </w:r>
    </w:p>
    <w:p>
      <w:pPr>
        <w:spacing w:after="0"/>
        <w:jc w:val="both"/>
        <w:rPr>
          <w:rFonts w:ascii="Calibri" w:hAnsi="Calibri" w:eastAsia="宋体" w:cs="Times New Roman"/>
          <w:sz w:val="21"/>
          <w:highlight w:val="none"/>
        </w:rPr>
      </w:pPr>
    </w:p>
    <w:p>
      <w:pPr>
        <w:tabs>
          <w:tab w:val="left" w:pos="6300"/>
        </w:tabs>
        <w:snapToGrid w:val="0"/>
        <w:spacing w:after="0" w:line="500" w:lineRule="exact"/>
        <w:ind w:firstLine="3520" w:firstLineChars="1100"/>
        <w:jc w:val="both"/>
        <w:rPr>
          <w:rFonts w:ascii="Times New Roman" w:hAnsi="Times New Roman" w:eastAsia="宋体" w:cs="Times New Roman"/>
          <w:sz w:val="21"/>
          <w:szCs w:val="20"/>
          <w:highlight w:val="none"/>
        </w:rPr>
      </w:pPr>
      <w:r>
        <w:rPr>
          <w:rFonts w:hint="eastAsia" w:ascii="Calibri" w:hAnsi="方正仿宋_GBK" w:eastAsia="方正仿宋_GBK" w:cs="方正仿宋_GBK"/>
          <w:sz w:val="32"/>
          <w:szCs w:val="32"/>
          <w:highlight w:val="none"/>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jc w:val="right"/>
      <w:rPr>
        <w:rFonts w:ascii="方正仿宋_GBK" w:eastAsia="方正仿宋_GBK"/>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wordWrap w:val="0"/>
                            <w:jc w:val="righ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409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s0lY7tAAAAAFAQAADwAAAAAAAAAB&#10;ACAAAAAiAAAAZHJzL2Rvd25yZXYueG1sUEsBAhQAFAAAAAgAh07iQH+l7UKmAQAATQMAAA4AAAAA&#10;AAAAAQAgAAAAHwEAAGRycy9lMm9Eb2MueG1sUEsFBgAAAAAGAAYAWQEAADcFAAAAAA==&#10;">
              <v:fill on="f" focussize="0,0"/>
              <v:stroke on="f" weight="0.5pt"/>
              <v:imagedata o:title=""/>
              <o:lock v:ext="edit" aspectratio="f"/>
              <v:textbox inset="0mm,0mm,0mm,0mm" style="mso-fit-shape-to-text:t;">
                <w:txbxContent>
                  <w:p>
                    <w:pPr>
                      <w:wordWrap w:val="0"/>
                      <w:jc w:val="right"/>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pPr>
      <w:pStyle w:val="13"/>
    </w:pPr>
  </w:p>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01"/>
    <w:multiLevelType w:val="multilevel"/>
    <w:tmpl w:val="0000000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7001"/>
    <w:rsid w:val="010F3D19"/>
    <w:rsid w:val="01C446B2"/>
    <w:rsid w:val="06D25D4A"/>
    <w:rsid w:val="07D47A94"/>
    <w:rsid w:val="08C97AA5"/>
    <w:rsid w:val="0DDF4DE5"/>
    <w:rsid w:val="0E873D09"/>
    <w:rsid w:val="0F54441C"/>
    <w:rsid w:val="10B049BF"/>
    <w:rsid w:val="118F50EC"/>
    <w:rsid w:val="11CE2B57"/>
    <w:rsid w:val="150967AD"/>
    <w:rsid w:val="16E66D61"/>
    <w:rsid w:val="1719707D"/>
    <w:rsid w:val="17561D8B"/>
    <w:rsid w:val="188D0610"/>
    <w:rsid w:val="1C2C7E22"/>
    <w:rsid w:val="1C646FED"/>
    <w:rsid w:val="1C980A44"/>
    <w:rsid w:val="1D4E55A7"/>
    <w:rsid w:val="21F456A3"/>
    <w:rsid w:val="28537A37"/>
    <w:rsid w:val="285443B9"/>
    <w:rsid w:val="295562F5"/>
    <w:rsid w:val="298E69AF"/>
    <w:rsid w:val="2A171625"/>
    <w:rsid w:val="2ADE61BC"/>
    <w:rsid w:val="308A28D0"/>
    <w:rsid w:val="31F43092"/>
    <w:rsid w:val="32B55164"/>
    <w:rsid w:val="33347820"/>
    <w:rsid w:val="33431096"/>
    <w:rsid w:val="34983880"/>
    <w:rsid w:val="36CF4430"/>
    <w:rsid w:val="36F105F2"/>
    <w:rsid w:val="3C7171D2"/>
    <w:rsid w:val="3E343A47"/>
    <w:rsid w:val="3E927592"/>
    <w:rsid w:val="4138138B"/>
    <w:rsid w:val="42036486"/>
    <w:rsid w:val="46B3013D"/>
    <w:rsid w:val="47763601"/>
    <w:rsid w:val="49C92DAE"/>
    <w:rsid w:val="4A8D5BCC"/>
    <w:rsid w:val="4BB05A0E"/>
    <w:rsid w:val="4BE56F53"/>
    <w:rsid w:val="4E1874E8"/>
    <w:rsid w:val="500A342C"/>
    <w:rsid w:val="53B813F1"/>
    <w:rsid w:val="55911EF9"/>
    <w:rsid w:val="572925D1"/>
    <w:rsid w:val="59266DFD"/>
    <w:rsid w:val="608B31A3"/>
    <w:rsid w:val="62271535"/>
    <w:rsid w:val="63F975E8"/>
    <w:rsid w:val="68010336"/>
    <w:rsid w:val="682612D0"/>
    <w:rsid w:val="6A7C78E2"/>
    <w:rsid w:val="6B4242C1"/>
    <w:rsid w:val="6C5B35E4"/>
    <w:rsid w:val="6D0F5906"/>
    <w:rsid w:val="6FE325A2"/>
    <w:rsid w:val="727D55F5"/>
    <w:rsid w:val="72BF7AC1"/>
    <w:rsid w:val="72D8486C"/>
    <w:rsid w:val="73111EF0"/>
    <w:rsid w:val="74C55995"/>
    <w:rsid w:val="7502564E"/>
    <w:rsid w:val="75D753BB"/>
    <w:rsid w:val="77B30E60"/>
    <w:rsid w:val="78706499"/>
    <w:rsid w:val="796C2332"/>
    <w:rsid w:val="7CB77BE8"/>
    <w:rsid w:val="7FE55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等线" w:hAnsi="等线" w:eastAsia="等线" w:cs="宋体"/>
      <w:kern w:val="2"/>
      <w:sz w:val="22"/>
      <w:szCs w:val="24"/>
      <w:lang w:val="en-US" w:eastAsia="zh-CN" w:bidi="ar-SA"/>
    </w:rPr>
  </w:style>
  <w:style w:type="paragraph" w:styleId="4">
    <w:name w:val="heading 1"/>
    <w:basedOn w:val="1"/>
    <w:next w:val="1"/>
    <w:link w:val="20"/>
    <w:qFormat/>
    <w:uiPriority w:val="9"/>
    <w:pPr>
      <w:keepNext/>
      <w:keepLines/>
      <w:spacing w:before="480" w:after="80"/>
      <w:outlineLvl w:val="0"/>
    </w:pPr>
    <w:rPr>
      <w:rFonts w:ascii="等线 Light" w:hAnsi="等线 Light" w:eastAsia="等线 Light" w:cs="宋体"/>
      <w:color w:val="2F5496"/>
      <w:sz w:val="48"/>
      <w:szCs w:val="48"/>
    </w:rPr>
  </w:style>
  <w:style w:type="paragraph" w:styleId="5">
    <w:name w:val="heading 2"/>
    <w:basedOn w:val="1"/>
    <w:next w:val="1"/>
    <w:link w:val="21"/>
    <w:qFormat/>
    <w:uiPriority w:val="9"/>
    <w:pPr>
      <w:keepNext/>
      <w:keepLines/>
      <w:spacing w:before="160" w:after="80"/>
      <w:outlineLvl w:val="1"/>
    </w:pPr>
    <w:rPr>
      <w:rFonts w:ascii="等线 Light" w:hAnsi="等线 Light" w:eastAsia="等线 Light" w:cs="宋体"/>
      <w:color w:val="2F5496"/>
      <w:sz w:val="40"/>
      <w:szCs w:val="40"/>
    </w:rPr>
  </w:style>
  <w:style w:type="paragraph" w:styleId="6">
    <w:name w:val="heading 3"/>
    <w:basedOn w:val="1"/>
    <w:next w:val="1"/>
    <w:link w:val="22"/>
    <w:qFormat/>
    <w:uiPriority w:val="9"/>
    <w:pPr>
      <w:keepNext/>
      <w:keepLines/>
      <w:spacing w:before="160" w:after="80"/>
      <w:outlineLvl w:val="2"/>
    </w:pPr>
    <w:rPr>
      <w:rFonts w:ascii="等线 Light" w:hAnsi="等线 Light" w:eastAsia="等线 Light" w:cs="宋体"/>
      <w:color w:val="2F5496"/>
      <w:sz w:val="32"/>
      <w:szCs w:val="32"/>
    </w:rPr>
  </w:style>
  <w:style w:type="paragraph" w:styleId="7">
    <w:name w:val="heading 4"/>
    <w:basedOn w:val="1"/>
    <w:next w:val="1"/>
    <w:link w:val="23"/>
    <w:qFormat/>
    <w:uiPriority w:val="9"/>
    <w:pPr>
      <w:keepNext/>
      <w:keepLines/>
      <w:spacing w:before="80" w:after="40"/>
      <w:outlineLvl w:val="3"/>
    </w:pPr>
    <w:rPr>
      <w:rFonts w:cs="宋体"/>
      <w:color w:val="2F5496"/>
      <w:sz w:val="28"/>
      <w:szCs w:val="28"/>
    </w:rPr>
  </w:style>
  <w:style w:type="paragraph" w:styleId="8">
    <w:name w:val="heading 5"/>
    <w:basedOn w:val="1"/>
    <w:next w:val="1"/>
    <w:link w:val="24"/>
    <w:qFormat/>
    <w:uiPriority w:val="9"/>
    <w:pPr>
      <w:keepNext/>
      <w:keepLines/>
      <w:spacing w:before="80" w:after="40"/>
      <w:outlineLvl w:val="4"/>
    </w:pPr>
    <w:rPr>
      <w:rFonts w:cs="宋体"/>
      <w:color w:val="2F5496"/>
      <w:sz w:val="24"/>
    </w:rPr>
  </w:style>
  <w:style w:type="paragraph" w:styleId="9">
    <w:name w:val="heading 6"/>
    <w:basedOn w:val="1"/>
    <w:next w:val="1"/>
    <w:link w:val="25"/>
    <w:qFormat/>
    <w:uiPriority w:val="9"/>
    <w:pPr>
      <w:keepNext/>
      <w:keepLines/>
      <w:spacing w:before="40" w:after="0"/>
      <w:outlineLvl w:val="5"/>
    </w:pPr>
    <w:rPr>
      <w:rFonts w:cs="宋体"/>
      <w:b/>
      <w:bCs/>
      <w:color w:val="2F5496"/>
    </w:rPr>
  </w:style>
  <w:style w:type="paragraph" w:styleId="10">
    <w:name w:val="heading 7"/>
    <w:basedOn w:val="1"/>
    <w:next w:val="1"/>
    <w:link w:val="26"/>
    <w:qFormat/>
    <w:uiPriority w:val="9"/>
    <w:pPr>
      <w:keepNext/>
      <w:keepLines/>
      <w:spacing w:before="40" w:after="0"/>
      <w:outlineLvl w:val="6"/>
    </w:pPr>
    <w:rPr>
      <w:rFonts w:cs="宋体"/>
      <w:b/>
      <w:bCs/>
      <w:color w:val="585858"/>
    </w:rPr>
  </w:style>
  <w:style w:type="paragraph" w:styleId="11">
    <w:name w:val="heading 8"/>
    <w:basedOn w:val="1"/>
    <w:next w:val="1"/>
    <w:link w:val="27"/>
    <w:qFormat/>
    <w:uiPriority w:val="9"/>
    <w:pPr>
      <w:keepNext/>
      <w:keepLines/>
      <w:spacing w:after="0"/>
      <w:outlineLvl w:val="7"/>
    </w:pPr>
    <w:rPr>
      <w:rFonts w:cs="宋体"/>
      <w:color w:val="585858"/>
    </w:rPr>
  </w:style>
  <w:style w:type="paragraph" w:styleId="12">
    <w:name w:val="heading 9"/>
    <w:basedOn w:val="1"/>
    <w:next w:val="1"/>
    <w:link w:val="28"/>
    <w:qFormat/>
    <w:uiPriority w:val="9"/>
    <w:pPr>
      <w:keepNext/>
      <w:keepLines/>
      <w:spacing w:after="0"/>
      <w:outlineLvl w:val="8"/>
    </w:pPr>
    <w:rPr>
      <w:rFonts w:eastAsia="等线 Light" w:cs="宋体"/>
      <w:color w:val="585858"/>
    </w:rPr>
  </w:style>
  <w:style w:type="character" w:default="1" w:styleId="18">
    <w:name w:val="Default Paragraph Font"/>
    <w:qFormat/>
    <w:uiPriority w:val="1"/>
  </w:style>
  <w:style w:type="table" w:default="1" w:styleId="19">
    <w:name w:val="Normal Table"/>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方正仿宋_GBK" w:cs="Times New Roman"/>
      <w:kern w:val="2"/>
      <w:sz w:val="32"/>
      <w:szCs w:val="22"/>
      <w:lang w:val="en-US" w:eastAsia="zh-CN" w:bidi="ar"/>
    </w:rPr>
  </w:style>
  <w:style w:type="paragraph" w:styleId="3">
    <w:name w:val="Body Text"/>
    <w:basedOn w:val="1"/>
    <w:next w:val="1"/>
    <w:qFormat/>
    <w:uiPriority w:val="0"/>
  </w:style>
  <w:style w:type="paragraph" w:styleId="13">
    <w:name w:val="footer"/>
    <w:basedOn w:val="1"/>
    <w:link w:val="38"/>
    <w:qFormat/>
    <w:uiPriority w:val="99"/>
    <w:pPr>
      <w:tabs>
        <w:tab w:val="center" w:pos="4153"/>
        <w:tab w:val="right" w:pos="8306"/>
      </w:tabs>
      <w:snapToGrid w:val="0"/>
      <w:spacing w:line="240" w:lineRule="auto"/>
    </w:pPr>
    <w:rPr>
      <w:sz w:val="18"/>
      <w:szCs w:val="18"/>
    </w:rPr>
  </w:style>
  <w:style w:type="paragraph" w:styleId="14">
    <w:name w:val="header"/>
    <w:basedOn w:val="1"/>
    <w:link w:val="3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0"/>
    <w:qFormat/>
    <w:uiPriority w:val="11"/>
    <w:pPr>
      <w:jc w:val="center"/>
    </w:pPr>
    <w:rPr>
      <w:rFonts w:ascii="等线 Light" w:hAnsi="等线 Light" w:eastAsia="等线 Light" w:cs="宋体"/>
      <w:color w:val="585858"/>
      <w:spacing w:val="15"/>
      <w:sz w:val="28"/>
      <w:szCs w:val="28"/>
    </w:rPr>
  </w:style>
  <w:style w:type="paragraph" w:styleId="16">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eastAsia="宋体"/>
      <w:sz w:val="24"/>
    </w:rPr>
  </w:style>
  <w:style w:type="paragraph" w:styleId="17">
    <w:name w:val="Title"/>
    <w:basedOn w:val="1"/>
    <w:next w:val="1"/>
    <w:link w:val="29"/>
    <w:qFormat/>
    <w:uiPriority w:val="10"/>
    <w:pPr>
      <w:spacing w:after="80" w:line="240" w:lineRule="auto"/>
      <w:contextualSpacing/>
      <w:jc w:val="center"/>
    </w:pPr>
    <w:rPr>
      <w:rFonts w:ascii="等线 Light" w:hAnsi="等线 Light" w:eastAsia="等线 Light" w:cs="宋体"/>
      <w:spacing w:val="-10"/>
      <w:kern w:val="28"/>
      <w:sz w:val="56"/>
      <w:szCs w:val="56"/>
    </w:rPr>
  </w:style>
  <w:style w:type="character" w:customStyle="1" w:styleId="20">
    <w:name w:val="标题 1 Char"/>
    <w:basedOn w:val="18"/>
    <w:link w:val="4"/>
    <w:qFormat/>
    <w:uiPriority w:val="9"/>
    <w:rPr>
      <w:rFonts w:ascii="等线 Light" w:hAnsi="等线 Light" w:eastAsia="等线 Light" w:cs="宋体"/>
      <w:color w:val="2F5496"/>
      <w:sz w:val="48"/>
      <w:szCs w:val="48"/>
    </w:rPr>
  </w:style>
  <w:style w:type="character" w:customStyle="1" w:styleId="21">
    <w:name w:val="标题 2 Char"/>
    <w:basedOn w:val="18"/>
    <w:link w:val="5"/>
    <w:qFormat/>
    <w:uiPriority w:val="9"/>
    <w:rPr>
      <w:rFonts w:ascii="等线 Light" w:hAnsi="等线 Light" w:eastAsia="等线 Light" w:cs="宋体"/>
      <w:color w:val="2F5496"/>
      <w:sz w:val="40"/>
      <w:szCs w:val="40"/>
    </w:rPr>
  </w:style>
  <w:style w:type="character" w:customStyle="1" w:styleId="22">
    <w:name w:val="标题 3 Char"/>
    <w:basedOn w:val="18"/>
    <w:link w:val="6"/>
    <w:qFormat/>
    <w:uiPriority w:val="9"/>
    <w:rPr>
      <w:rFonts w:ascii="等线 Light" w:hAnsi="等线 Light" w:eastAsia="等线 Light" w:cs="宋体"/>
      <w:color w:val="2F5496"/>
      <w:sz w:val="32"/>
      <w:szCs w:val="32"/>
    </w:rPr>
  </w:style>
  <w:style w:type="character" w:customStyle="1" w:styleId="23">
    <w:name w:val="标题 4 Char"/>
    <w:basedOn w:val="18"/>
    <w:link w:val="7"/>
    <w:qFormat/>
    <w:uiPriority w:val="9"/>
    <w:rPr>
      <w:rFonts w:cs="宋体"/>
      <w:color w:val="2F5496"/>
      <w:sz w:val="28"/>
      <w:szCs w:val="28"/>
    </w:rPr>
  </w:style>
  <w:style w:type="character" w:customStyle="1" w:styleId="24">
    <w:name w:val="标题 5 Char"/>
    <w:basedOn w:val="18"/>
    <w:link w:val="8"/>
    <w:qFormat/>
    <w:uiPriority w:val="9"/>
    <w:rPr>
      <w:rFonts w:cs="宋体"/>
      <w:color w:val="2F5496"/>
      <w:sz w:val="24"/>
    </w:rPr>
  </w:style>
  <w:style w:type="character" w:customStyle="1" w:styleId="25">
    <w:name w:val="标题 6 Char"/>
    <w:basedOn w:val="18"/>
    <w:link w:val="9"/>
    <w:qFormat/>
    <w:uiPriority w:val="9"/>
    <w:rPr>
      <w:rFonts w:cs="宋体"/>
      <w:b/>
      <w:bCs/>
      <w:color w:val="2F5496"/>
    </w:rPr>
  </w:style>
  <w:style w:type="character" w:customStyle="1" w:styleId="26">
    <w:name w:val="标题 7 Char"/>
    <w:basedOn w:val="18"/>
    <w:link w:val="10"/>
    <w:qFormat/>
    <w:uiPriority w:val="9"/>
    <w:rPr>
      <w:rFonts w:cs="宋体"/>
      <w:b/>
      <w:bCs/>
      <w:color w:val="585858"/>
    </w:rPr>
  </w:style>
  <w:style w:type="character" w:customStyle="1" w:styleId="27">
    <w:name w:val="标题 8 Char"/>
    <w:basedOn w:val="18"/>
    <w:link w:val="11"/>
    <w:qFormat/>
    <w:uiPriority w:val="9"/>
    <w:rPr>
      <w:rFonts w:cs="宋体"/>
      <w:color w:val="585858"/>
    </w:rPr>
  </w:style>
  <w:style w:type="character" w:customStyle="1" w:styleId="28">
    <w:name w:val="标题 9 Char"/>
    <w:basedOn w:val="18"/>
    <w:link w:val="12"/>
    <w:qFormat/>
    <w:uiPriority w:val="9"/>
    <w:rPr>
      <w:rFonts w:eastAsia="等线 Light" w:cs="宋体"/>
      <w:color w:val="585858"/>
    </w:rPr>
  </w:style>
  <w:style w:type="character" w:customStyle="1" w:styleId="29">
    <w:name w:val="标题 Char"/>
    <w:basedOn w:val="18"/>
    <w:link w:val="17"/>
    <w:qFormat/>
    <w:uiPriority w:val="10"/>
    <w:rPr>
      <w:rFonts w:ascii="等线 Light" w:hAnsi="等线 Light" w:eastAsia="等线 Light" w:cs="宋体"/>
      <w:spacing w:val="-10"/>
      <w:kern w:val="28"/>
      <w:sz w:val="56"/>
      <w:szCs w:val="56"/>
    </w:rPr>
  </w:style>
  <w:style w:type="character" w:customStyle="1" w:styleId="30">
    <w:name w:val="副标题 Char"/>
    <w:basedOn w:val="18"/>
    <w:link w:val="15"/>
    <w:qFormat/>
    <w:uiPriority w:val="11"/>
    <w:rPr>
      <w:rFonts w:ascii="等线 Light" w:hAnsi="等线 Light" w:eastAsia="等线 Light" w:cs="宋体"/>
      <w:color w:val="585858"/>
      <w:spacing w:val="15"/>
      <w:sz w:val="28"/>
      <w:szCs w:val="28"/>
    </w:rPr>
  </w:style>
  <w:style w:type="paragraph" w:customStyle="1" w:styleId="31">
    <w:name w:val="Quote"/>
    <w:basedOn w:val="1"/>
    <w:next w:val="1"/>
    <w:link w:val="32"/>
    <w:qFormat/>
    <w:uiPriority w:val="29"/>
    <w:pPr>
      <w:spacing w:before="160"/>
      <w:jc w:val="center"/>
    </w:pPr>
    <w:rPr>
      <w:i/>
      <w:iCs/>
      <w:color w:val="3F3F3F"/>
    </w:rPr>
  </w:style>
  <w:style w:type="character" w:customStyle="1" w:styleId="32">
    <w:name w:val="引用 Char"/>
    <w:basedOn w:val="18"/>
    <w:link w:val="31"/>
    <w:qFormat/>
    <w:uiPriority w:val="29"/>
    <w:rPr>
      <w:i/>
      <w:iCs/>
      <w:color w:val="3F3F3F"/>
    </w:rPr>
  </w:style>
  <w:style w:type="paragraph" w:customStyle="1" w:styleId="33">
    <w:name w:val="List Paragraph"/>
    <w:basedOn w:val="1"/>
    <w:qFormat/>
    <w:uiPriority w:val="34"/>
    <w:pPr>
      <w:ind w:left="720"/>
      <w:contextualSpacing/>
    </w:pPr>
  </w:style>
  <w:style w:type="character" w:customStyle="1" w:styleId="34">
    <w:name w:val="明显强调1"/>
    <w:basedOn w:val="18"/>
    <w:qFormat/>
    <w:uiPriority w:val="21"/>
    <w:rPr>
      <w:i/>
      <w:iCs/>
      <w:color w:val="2F5496"/>
    </w:rPr>
  </w:style>
  <w:style w:type="paragraph" w:customStyle="1" w:styleId="35">
    <w:name w:val="Intense Quote"/>
    <w:basedOn w:val="1"/>
    <w:next w:val="1"/>
    <w:link w:val="36"/>
    <w:qFormat/>
    <w:uiPriority w:val="30"/>
    <w:pPr>
      <w:pBdr>
        <w:top w:val="single" w:color="2F5496" w:sz="4" w:space="10"/>
        <w:bottom w:val="single" w:color="2F5496" w:sz="4" w:space="10"/>
      </w:pBdr>
      <w:spacing w:before="360" w:after="360"/>
      <w:ind w:left="864" w:right="864"/>
      <w:jc w:val="center"/>
    </w:pPr>
    <w:rPr>
      <w:i/>
      <w:iCs/>
      <w:color w:val="2F5496"/>
    </w:rPr>
  </w:style>
  <w:style w:type="character" w:customStyle="1" w:styleId="36">
    <w:name w:val="明显引用 Char"/>
    <w:basedOn w:val="18"/>
    <w:link w:val="35"/>
    <w:qFormat/>
    <w:uiPriority w:val="30"/>
    <w:rPr>
      <w:i/>
      <w:iCs/>
      <w:color w:val="2F5496"/>
    </w:rPr>
  </w:style>
  <w:style w:type="character" w:customStyle="1" w:styleId="37">
    <w:name w:val="明显参考1"/>
    <w:basedOn w:val="18"/>
    <w:qFormat/>
    <w:uiPriority w:val="32"/>
    <w:rPr>
      <w:b/>
      <w:bCs/>
      <w:smallCaps/>
      <w:color w:val="2F5496"/>
      <w:spacing w:val="5"/>
    </w:rPr>
  </w:style>
  <w:style w:type="character" w:customStyle="1" w:styleId="38">
    <w:name w:val="页脚 Char"/>
    <w:basedOn w:val="18"/>
    <w:link w:val="13"/>
    <w:qFormat/>
    <w:uiPriority w:val="99"/>
    <w:rPr>
      <w:sz w:val="18"/>
      <w:szCs w:val="18"/>
    </w:rPr>
  </w:style>
  <w:style w:type="character" w:customStyle="1" w:styleId="39">
    <w:name w:val="页眉 Char"/>
    <w:basedOn w:val="18"/>
    <w:link w:val="1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4058</Words>
  <Characters>4201</Characters>
  <Paragraphs>208</Paragraphs>
  <TotalTime>2</TotalTime>
  <ScaleCrop>false</ScaleCrop>
  <LinksUpToDate>false</LinksUpToDate>
  <CharactersWithSpaces>4408</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2025-03-21T08:01:00Z</dcterms:created>
  <dc:creator>luofei20569@163.com</dc:creator>
  <cp:lastModifiedBy>Administrator</cp:lastModifiedBy>
  <cp:lastPrinted>2026-01-08T03:42:00Z</cp:lastPrinted>
  <dcterms:modified xsi:type="dcterms:W3CDTF">2026-07-15T03:35:34Z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KSOTemplateDocerSaveRecord">
    <vt:lpwstr>eyJoZGlkIjoiMmZmOTRmZDVjYmMyYTdhNTRjYTA5YzU5OTc2OTdhNWMiLCJ1c2VySWQiOiI1MTA5Mjg1MDcifQ==</vt:lpwstr>
  </property>
  <property fmtid="{D5CDD505-2E9C-101B-9397-08002B2CF9AE}" pid="4" name="ICV">
    <vt:lpwstr>28E89C5970D74D31B2EB2655BE26C050_13</vt:lpwstr>
  </property>
</Properties>
</file>